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FC321" w14:textId="322957A2" w:rsidR="000315BF" w:rsidRPr="000315BF" w:rsidRDefault="000315BF" w:rsidP="00357CB2">
      <w:pPr>
        <w:jc w:val="center"/>
        <w:rPr>
          <w:b/>
          <w:bCs/>
        </w:rPr>
      </w:pPr>
      <w:bookmarkStart w:id="0" w:name="_Hlk42677514"/>
      <w:r w:rsidRPr="000315BF">
        <w:rPr>
          <w:b/>
          <w:bCs/>
        </w:rPr>
        <w:t>SOAH DOCKET NO. 473-20-4709.WS</w:t>
      </w:r>
    </w:p>
    <w:p w14:paraId="3DD2EC8D" w14:textId="2371E520" w:rsidR="00357CB2" w:rsidRPr="00BA2A7F" w:rsidRDefault="000315BF" w:rsidP="00357CB2">
      <w:pPr>
        <w:jc w:val="center"/>
        <w:rPr>
          <w:b/>
          <w:bCs/>
        </w:rPr>
      </w:pPr>
      <w:r>
        <w:rPr>
          <w:b/>
          <w:bCs/>
        </w:rPr>
        <w:t xml:space="preserve">PUC </w:t>
      </w:r>
      <w:r w:rsidR="00BA2A7F" w:rsidRPr="00BA2A7F">
        <w:rPr>
          <w:b/>
          <w:bCs/>
        </w:rPr>
        <w:t xml:space="preserve">DOCKET NO. </w:t>
      </w:r>
      <w:r w:rsidR="00C51FDC">
        <w:rPr>
          <w:b/>
          <w:bCs/>
        </w:rPr>
        <w:t>50944</w:t>
      </w:r>
    </w:p>
    <w:p w14:paraId="33C1B30C" w14:textId="77777777" w:rsidR="00BA2A7F" w:rsidRPr="001E0547" w:rsidRDefault="00BA2A7F" w:rsidP="00357CB2">
      <w:pPr>
        <w:jc w:val="center"/>
        <w:rPr>
          <w:b/>
        </w:rPr>
      </w:pPr>
    </w:p>
    <w:tbl>
      <w:tblPr>
        <w:tblW w:w="9540" w:type="dxa"/>
        <w:jc w:val="center"/>
        <w:tblLook w:val="01E0" w:firstRow="1" w:lastRow="1" w:firstColumn="1" w:lastColumn="1" w:noHBand="0" w:noVBand="0"/>
      </w:tblPr>
      <w:tblGrid>
        <w:gridCol w:w="4500"/>
        <w:gridCol w:w="720"/>
        <w:gridCol w:w="4320"/>
      </w:tblGrid>
      <w:tr w:rsidR="00357CB2" w:rsidRPr="00D75599" w14:paraId="4F8F71F0" w14:textId="77777777" w:rsidTr="00C51FDC">
        <w:trPr>
          <w:trHeight w:val="882"/>
          <w:jc w:val="center"/>
        </w:trPr>
        <w:tc>
          <w:tcPr>
            <w:tcW w:w="4500" w:type="dxa"/>
          </w:tcPr>
          <w:p w14:paraId="2FAA1D68" w14:textId="65E3F9F9" w:rsidR="000315BF" w:rsidRDefault="00C51FDC" w:rsidP="00DE5830">
            <w:pPr>
              <w:jc w:val="left"/>
              <w:rPr>
                <w:b/>
                <w:bCs/>
              </w:rPr>
            </w:pPr>
            <w:r>
              <w:rPr>
                <w:b/>
                <w:bCs/>
              </w:rPr>
              <w:t xml:space="preserve">APPLICATION OF MONARCH </w:t>
            </w:r>
          </w:p>
          <w:p w14:paraId="6A5205BF" w14:textId="18829D94" w:rsidR="000315BF" w:rsidRDefault="00C51FDC" w:rsidP="00DE5830">
            <w:pPr>
              <w:jc w:val="left"/>
              <w:rPr>
                <w:b/>
                <w:bCs/>
              </w:rPr>
            </w:pPr>
            <w:r>
              <w:rPr>
                <w:b/>
                <w:bCs/>
              </w:rPr>
              <w:t xml:space="preserve">UTILITIES I, L.P. FOR AUTHORITY </w:t>
            </w:r>
          </w:p>
          <w:p w14:paraId="5FC9A8D3" w14:textId="389C96CD" w:rsidR="00357CB2" w:rsidRPr="0013268C" w:rsidRDefault="00C51FDC" w:rsidP="00DE5830">
            <w:pPr>
              <w:jc w:val="left"/>
              <w:rPr>
                <w:rFonts w:ascii="Times New Roman Bold" w:hAnsi="Times New Roman Bold"/>
                <w:b/>
                <w:bCs/>
                <w:caps/>
              </w:rPr>
            </w:pPr>
            <w:r>
              <w:rPr>
                <w:b/>
                <w:bCs/>
              </w:rPr>
              <w:t>TO CHANGE RATES</w:t>
            </w:r>
          </w:p>
        </w:tc>
        <w:tc>
          <w:tcPr>
            <w:tcW w:w="720" w:type="dxa"/>
          </w:tcPr>
          <w:p w14:paraId="565E8B0E" w14:textId="77777777" w:rsidR="00357CB2" w:rsidRPr="00D75599" w:rsidRDefault="00357CB2" w:rsidP="003C2340">
            <w:pPr>
              <w:jc w:val="center"/>
              <w:rPr>
                <w:b/>
              </w:rPr>
            </w:pPr>
            <w:r w:rsidRPr="00D75599">
              <w:rPr>
                <w:b/>
              </w:rPr>
              <w:t>§</w:t>
            </w:r>
          </w:p>
          <w:p w14:paraId="04098137" w14:textId="77777777" w:rsidR="00357CB2" w:rsidRPr="00D75599" w:rsidRDefault="00357CB2" w:rsidP="003C2340">
            <w:pPr>
              <w:jc w:val="center"/>
              <w:rPr>
                <w:b/>
              </w:rPr>
            </w:pPr>
            <w:r w:rsidRPr="00D75599">
              <w:rPr>
                <w:b/>
              </w:rPr>
              <w:t>§</w:t>
            </w:r>
          </w:p>
          <w:p w14:paraId="7B4A5AA6" w14:textId="61EF38F0" w:rsidR="000315BF" w:rsidRPr="00D75599" w:rsidRDefault="00357CB2" w:rsidP="00B32410">
            <w:pPr>
              <w:jc w:val="center"/>
              <w:rPr>
                <w:b/>
              </w:rPr>
            </w:pPr>
            <w:r w:rsidRPr="00D75599">
              <w:rPr>
                <w:b/>
              </w:rPr>
              <w:t>§</w:t>
            </w:r>
          </w:p>
        </w:tc>
        <w:tc>
          <w:tcPr>
            <w:tcW w:w="4320" w:type="dxa"/>
          </w:tcPr>
          <w:p w14:paraId="6536191A" w14:textId="75F9C309" w:rsidR="000315BF" w:rsidRDefault="000315BF" w:rsidP="00B32410">
            <w:pPr>
              <w:pStyle w:val="Docketstyle"/>
              <w:spacing w:line="240" w:lineRule="auto"/>
              <w:jc w:val="center"/>
              <w:rPr>
                <w:bCs/>
              </w:rPr>
            </w:pPr>
            <w:r>
              <w:rPr>
                <w:bCs/>
              </w:rPr>
              <w:t>bEFORE THE STATE OFFICE</w:t>
            </w:r>
          </w:p>
          <w:p w14:paraId="7D4D30FA" w14:textId="09BC1A99" w:rsidR="000315BF" w:rsidRDefault="000315BF" w:rsidP="00B32410">
            <w:pPr>
              <w:pStyle w:val="Docketstyle"/>
              <w:spacing w:line="240" w:lineRule="auto"/>
              <w:jc w:val="center"/>
              <w:rPr>
                <w:bCs/>
              </w:rPr>
            </w:pPr>
            <w:r>
              <w:rPr>
                <w:bCs/>
              </w:rPr>
              <w:t>OF</w:t>
            </w:r>
          </w:p>
          <w:p w14:paraId="45A1142A" w14:textId="6F911271" w:rsidR="00357CB2" w:rsidRPr="00D75599" w:rsidRDefault="000315BF" w:rsidP="000315BF">
            <w:pPr>
              <w:pStyle w:val="Docketstyle"/>
              <w:spacing w:line="240" w:lineRule="auto"/>
              <w:jc w:val="center"/>
              <w:rPr>
                <w:bCs/>
              </w:rPr>
            </w:pPr>
            <w:r>
              <w:rPr>
                <w:bCs/>
              </w:rPr>
              <w:t>ADMINISTRATIVE HEARINGS</w:t>
            </w:r>
          </w:p>
        </w:tc>
      </w:tr>
      <w:bookmarkEnd w:id="0"/>
    </w:tbl>
    <w:p w14:paraId="6C8DB107" w14:textId="77777777" w:rsidR="000315BF" w:rsidRDefault="000315BF" w:rsidP="00B32410">
      <w:pPr>
        <w:pStyle w:val="Documentheading"/>
        <w:jc w:val="both"/>
        <w:rPr>
          <w:sz w:val="24"/>
          <w:szCs w:val="24"/>
        </w:rPr>
      </w:pPr>
    </w:p>
    <w:p w14:paraId="53B3B229" w14:textId="7AEA2869" w:rsidR="00AF3657" w:rsidRPr="00261AFE" w:rsidRDefault="00C311C3" w:rsidP="00AF3657">
      <w:pPr>
        <w:pStyle w:val="Documentheading"/>
        <w:rPr>
          <w:sz w:val="24"/>
          <w:szCs w:val="24"/>
        </w:rPr>
      </w:pPr>
      <w:r>
        <w:rPr>
          <w:sz w:val="24"/>
          <w:szCs w:val="24"/>
        </w:rPr>
        <w:t xml:space="preserve">COMMISSION STAFF’S </w:t>
      </w:r>
      <w:r w:rsidR="000315BF">
        <w:rPr>
          <w:sz w:val="24"/>
          <w:szCs w:val="24"/>
        </w:rPr>
        <w:t>RESPONSE TO SOAH ORDER NO. 2</w:t>
      </w:r>
    </w:p>
    <w:p w14:paraId="2FC6AECE" w14:textId="77777777" w:rsidR="003744AE" w:rsidRDefault="003744AE" w:rsidP="00AF3657">
      <w:pPr>
        <w:pStyle w:val="Documentheading"/>
      </w:pPr>
    </w:p>
    <w:p w14:paraId="742CDB7E" w14:textId="2AAE255D"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 xml:space="preserve">Staff </w:t>
      </w:r>
      <w:r w:rsidR="00357CB2">
        <w:rPr>
          <w:b w:val="0"/>
          <w:sz w:val="24"/>
          <w:szCs w:val="24"/>
        </w:rPr>
        <w:t>(</w:t>
      </w:r>
      <w:r w:rsidR="00AA03CF">
        <w:rPr>
          <w:b w:val="0"/>
          <w:sz w:val="24"/>
          <w:szCs w:val="24"/>
        </w:rPr>
        <w:t xml:space="preserve">Commission </w:t>
      </w:r>
      <w:r w:rsidR="00357CB2">
        <w:rPr>
          <w:b w:val="0"/>
          <w:sz w:val="24"/>
          <w:szCs w:val="24"/>
        </w:rPr>
        <w:t xml:space="preserve">Staff) </w:t>
      </w:r>
      <w:r w:rsidR="00100063" w:rsidRPr="00100063">
        <w:rPr>
          <w:b w:val="0"/>
          <w:sz w:val="24"/>
          <w:szCs w:val="24"/>
        </w:rPr>
        <w:t>of the Public Utility Commission of Texas (</w:t>
      </w:r>
      <w:r w:rsidR="00357CB2">
        <w:rPr>
          <w:b w:val="0"/>
          <w:sz w:val="24"/>
          <w:szCs w:val="24"/>
        </w:rPr>
        <w:t>Commission</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3C2340">
        <w:rPr>
          <w:b w:val="0"/>
          <w:sz w:val="24"/>
          <w:szCs w:val="24"/>
        </w:rPr>
        <w:t xml:space="preserve">Commission Staff’s </w:t>
      </w:r>
      <w:r w:rsidR="000315BF">
        <w:rPr>
          <w:b w:val="0"/>
          <w:sz w:val="24"/>
          <w:szCs w:val="24"/>
        </w:rPr>
        <w:t>Response to SOAH Order No. 2</w:t>
      </w:r>
      <w:r w:rsidR="008C6C34">
        <w:rPr>
          <w:b w:val="0"/>
          <w:sz w:val="24"/>
          <w:szCs w:val="24"/>
        </w:rPr>
        <w:t>.</w:t>
      </w:r>
      <w:r w:rsidR="003C2340">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0AB20704" w14:textId="230AAC81" w:rsidR="006346BF" w:rsidRDefault="00C51FDC" w:rsidP="00C51FDC">
      <w:pPr>
        <w:spacing w:line="360" w:lineRule="auto"/>
        <w:ind w:firstLine="720"/>
      </w:pPr>
      <w:r>
        <w:t xml:space="preserve">On July 15, 2020, Monarch Utilities I, L.P. (Monarch) filed an application to change rates under Texas Water Code (TWC) </w:t>
      </w:r>
      <w:r w:rsidRPr="0051637F">
        <w:t>§</w:t>
      </w:r>
      <w:r>
        <w:t xml:space="preserve"> 13.187 and 16 Texas Administrative Code (TAC) </w:t>
      </w:r>
      <w:r w:rsidRPr="0051637F">
        <w:t>§</w:t>
      </w:r>
      <w:r>
        <w:t xml:space="preserve"> 24.27. </w:t>
      </w:r>
      <w:r w:rsidR="00FB69CA">
        <w:t>On August 31, 2020, the application was referred to the State Office of Administrative Hearings</w:t>
      </w:r>
      <w:r w:rsidR="00AA03CF">
        <w:t> </w:t>
      </w:r>
      <w:r w:rsidR="00FB69CA">
        <w:t xml:space="preserve">(SOAH). </w:t>
      </w:r>
    </w:p>
    <w:p w14:paraId="1613B567" w14:textId="771D114E" w:rsidR="00FB69CA" w:rsidRDefault="00FB69CA" w:rsidP="00C51FDC">
      <w:pPr>
        <w:spacing w:line="360" w:lineRule="auto"/>
        <w:ind w:firstLine="720"/>
      </w:pPr>
      <w:r>
        <w:t>On September 18, 2020, the Administrative Law Judges (ALJs) convened a prehearing conference, which was attended by counsel for Monarch, Commission Staff, and the Office of Public Utility Counsel (OPUC). The parties addressed a procedural schedule and Commission Staff’s then-pending motion for interim rates.</w:t>
      </w:r>
      <w:r w:rsidR="000315BF">
        <w:t xml:space="preserve"> </w:t>
      </w:r>
      <w:r>
        <w:t>The ALJs took these matters under advisement.</w:t>
      </w:r>
    </w:p>
    <w:p w14:paraId="5C4350DA" w14:textId="7BFDE17E" w:rsidR="00FB69CA" w:rsidRDefault="00FB69CA" w:rsidP="00C51FDC">
      <w:pPr>
        <w:spacing w:line="360" w:lineRule="auto"/>
        <w:ind w:firstLine="720"/>
      </w:pPr>
      <w:r>
        <w:t>On September 28, 2020, the parties filed a joint motion for interim rates</w:t>
      </w:r>
      <w:r w:rsidR="000315BF">
        <w:t>, requesting that the</w:t>
      </w:r>
      <w:r>
        <w:t xml:space="preserve"> interim rates be implemented in two phases. The first phase of interim rates</w:t>
      </w:r>
      <w:r w:rsidR="000315BF">
        <w:t xml:space="preserve"> would </w:t>
      </w:r>
      <w:r>
        <w:t>be effective September 18, 2020</w:t>
      </w:r>
      <w:r w:rsidR="000315BF">
        <w:t xml:space="preserve"> and </w:t>
      </w:r>
      <w:r>
        <w:t xml:space="preserve">would be set at Monarch’s current rates. The second phase </w:t>
      </w:r>
      <w:r w:rsidR="000315BF">
        <w:t>of interim rates would</w:t>
      </w:r>
      <w:r>
        <w:t xml:space="preserve"> be effective February 1, 2021</w:t>
      </w:r>
      <w:r w:rsidR="000315BF">
        <w:t xml:space="preserve"> and</w:t>
      </w:r>
      <w:r>
        <w:t xml:space="preserve"> would be set at Monarch’s proposed rates.</w:t>
      </w:r>
    </w:p>
    <w:p w14:paraId="0EC71748" w14:textId="19B70843" w:rsidR="00FB69CA" w:rsidRDefault="000315BF" w:rsidP="00C51FDC">
      <w:pPr>
        <w:spacing w:line="360" w:lineRule="auto"/>
        <w:ind w:firstLine="720"/>
      </w:pPr>
      <w:r>
        <w:t>On October 2, 2020, SOAH Order No. 2 was issued, conditionally adopting the parties’ proposed procedural schedule and requiring the parties to submit briefs addressing eight specified issues by October 9, 2020. Therefore, this pleading is timely filed.</w:t>
      </w:r>
    </w:p>
    <w:p w14:paraId="1F6E196A" w14:textId="77777777" w:rsidR="00852598" w:rsidRDefault="00852598" w:rsidP="00B15436"/>
    <w:p w14:paraId="2E2A7369" w14:textId="52923D99" w:rsidR="00D27675" w:rsidRDefault="00703AAD" w:rsidP="00D27675">
      <w:pPr>
        <w:pStyle w:val="ListParagraph"/>
        <w:numPr>
          <w:ilvl w:val="0"/>
          <w:numId w:val="10"/>
        </w:numPr>
        <w:spacing w:line="360" w:lineRule="auto"/>
        <w:ind w:left="720"/>
        <w:jc w:val="center"/>
        <w:rPr>
          <w:b/>
        </w:rPr>
      </w:pPr>
      <w:r>
        <w:rPr>
          <w:b/>
        </w:rPr>
        <w:t>DISCUSSION</w:t>
      </w:r>
    </w:p>
    <w:p w14:paraId="4F5207CC" w14:textId="3F8BA831" w:rsidR="004333A7" w:rsidRDefault="00C3012D" w:rsidP="00941645">
      <w:pPr>
        <w:pStyle w:val="ListParagraph"/>
        <w:numPr>
          <w:ilvl w:val="0"/>
          <w:numId w:val="27"/>
        </w:numPr>
        <w:spacing w:after="120" w:line="360" w:lineRule="auto"/>
        <w:ind w:left="720" w:hanging="720"/>
        <w:contextualSpacing w:val="0"/>
        <w:rPr>
          <w:b/>
        </w:rPr>
      </w:pPr>
      <w:r>
        <w:rPr>
          <w:b/>
        </w:rPr>
        <w:t>What is the legal authority to set interim rates retroactively, that is, effective before the interim rates are approved?</w:t>
      </w:r>
    </w:p>
    <w:p w14:paraId="6BC046FA" w14:textId="167093B2" w:rsidR="00001175" w:rsidRPr="00001175" w:rsidRDefault="00001175" w:rsidP="00941645">
      <w:pPr>
        <w:pStyle w:val="ListParagraph"/>
        <w:spacing w:after="120" w:line="360" w:lineRule="auto"/>
        <w:contextualSpacing w:val="0"/>
        <w:rPr>
          <w:bCs/>
        </w:rPr>
      </w:pPr>
      <w:r>
        <w:rPr>
          <w:bCs/>
        </w:rPr>
        <w:lastRenderedPageBreak/>
        <w:t xml:space="preserve">The legal authority to set interim rates retroactively is found in 16 TAC § 24.37(b). According to 16 TAC § 24.37(b), </w:t>
      </w:r>
      <w:r>
        <w:t xml:space="preserve">“[a]t any time after the filing of a statement of intent to change rates under Chapter 13 of TWC the commission staff may petition the commission to set interim rates to remain in effect until further commission action or a final rate determination is made.” </w:t>
      </w:r>
      <w:r w:rsidR="00B21500">
        <w:t>The effective date of the proposed rates was suspended by the Commission ALJ on August 18, 2020.</w:t>
      </w:r>
      <w:r w:rsidR="00776A8B">
        <w:rPr>
          <w:rStyle w:val="FootnoteReference"/>
        </w:rPr>
        <w:footnoteReference w:id="1"/>
      </w:r>
      <w:r w:rsidR="00B21500">
        <w:t xml:space="preserve"> </w:t>
      </w:r>
      <w:r>
        <w:t xml:space="preserve">Additionally, interim rates were set retroactively in </w:t>
      </w:r>
      <w:r w:rsidR="00B21500">
        <w:t xml:space="preserve">the </w:t>
      </w:r>
      <w:r w:rsidR="00B21500" w:rsidRPr="00B21500">
        <w:rPr>
          <w:i/>
          <w:iCs/>
        </w:rPr>
        <w:t>Application of Kendall West Utility, LLC for Authority to Change Rates</w:t>
      </w:r>
      <w:r w:rsidR="00B21500">
        <w:t>,</w:t>
      </w:r>
      <w:r w:rsidR="00776A8B">
        <w:rPr>
          <w:rStyle w:val="FootnoteReference"/>
        </w:rPr>
        <w:footnoteReference w:id="2"/>
      </w:r>
      <w:r w:rsidR="00B21500">
        <w:t xml:space="preserve"> </w:t>
      </w:r>
      <w:r w:rsidR="0055422C">
        <w:t>and</w:t>
      </w:r>
      <w:r w:rsidR="00B21500">
        <w:t xml:space="preserve"> in </w:t>
      </w:r>
      <w:r w:rsidR="00300565">
        <w:t xml:space="preserve">the </w:t>
      </w:r>
      <w:r w:rsidR="00300565" w:rsidRPr="00776A8B">
        <w:rPr>
          <w:i/>
          <w:iCs/>
        </w:rPr>
        <w:t>Application of Undine Texas, LLC and Undine Texas Environmental, LLC for Authority to Change Rates</w:t>
      </w:r>
      <w:r w:rsidR="0055422C">
        <w:t>.</w:t>
      </w:r>
      <w:r w:rsidR="00776A8B">
        <w:rPr>
          <w:rStyle w:val="FootnoteReference"/>
        </w:rPr>
        <w:footnoteReference w:id="3"/>
      </w:r>
      <w:r w:rsidR="0055422C">
        <w:t xml:space="preserve">  </w:t>
      </w:r>
    </w:p>
    <w:p w14:paraId="7F1EECC8" w14:textId="41920AD0" w:rsidR="004333A7" w:rsidRDefault="004333A7" w:rsidP="00941645">
      <w:pPr>
        <w:pStyle w:val="ListParagraph"/>
        <w:numPr>
          <w:ilvl w:val="0"/>
          <w:numId w:val="27"/>
        </w:numPr>
        <w:spacing w:after="120" w:line="360" w:lineRule="auto"/>
        <w:ind w:left="720" w:hanging="720"/>
        <w:contextualSpacing w:val="0"/>
        <w:rPr>
          <w:b/>
        </w:rPr>
      </w:pPr>
      <w:r>
        <w:rPr>
          <w:b/>
        </w:rPr>
        <w:t>If interim rates may not be set retroactively, when is the appropriate date for their imposition?</w:t>
      </w:r>
    </w:p>
    <w:p w14:paraId="1AB59951" w14:textId="20A07E74" w:rsidR="004333A7" w:rsidRPr="004333A7" w:rsidRDefault="004333A7" w:rsidP="00941645">
      <w:pPr>
        <w:pStyle w:val="ListParagraph"/>
        <w:spacing w:after="120" w:line="360" w:lineRule="auto"/>
        <w:contextualSpacing w:val="0"/>
        <w:rPr>
          <w:bCs/>
        </w:rPr>
      </w:pPr>
      <w:r>
        <w:rPr>
          <w:bCs/>
        </w:rPr>
        <w:t xml:space="preserve">As shown in response to #1, </w:t>
      </w:r>
      <w:r w:rsidR="00AA03CF">
        <w:rPr>
          <w:bCs/>
        </w:rPr>
        <w:t xml:space="preserve">Commission </w:t>
      </w:r>
      <w:r>
        <w:rPr>
          <w:bCs/>
        </w:rPr>
        <w:t>Staff</w:t>
      </w:r>
      <w:r w:rsidR="00AA03CF">
        <w:rPr>
          <w:bCs/>
        </w:rPr>
        <w:t>’s requested</w:t>
      </w:r>
      <w:r>
        <w:rPr>
          <w:bCs/>
        </w:rPr>
        <w:t xml:space="preserve"> interim rates may be set retroactively. However, </w:t>
      </w:r>
      <w:r w:rsidR="00AA03CF">
        <w:rPr>
          <w:bCs/>
        </w:rPr>
        <w:t xml:space="preserve">Commission </w:t>
      </w:r>
      <w:r w:rsidR="00001175">
        <w:rPr>
          <w:bCs/>
        </w:rPr>
        <w:t xml:space="preserve">Staff recommends that </w:t>
      </w:r>
      <w:r>
        <w:rPr>
          <w:bCs/>
        </w:rPr>
        <w:t xml:space="preserve">an appropriate date for their imposition is the date of the issuance of the order approving interim rates. </w:t>
      </w:r>
    </w:p>
    <w:p w14:paraId="0ABDAA30" w14:textId="5A252E32" w:rsidR="00D27675" w:rsidRDefault="00D27675" w:rsidP="00941645">
      <w:pPr>
        <w:pStyle w:val="ListParagraph"/>
        <w:numPr>
          <w:ilvl w:val="0"/>
          <w:numId w:val="27"/>
        </w:numPr>
        <w:spacing w:after="120" w:line="360" w:lineRule="auto"/>
        <w:ind w:left="720" w:hanging="720"/>
        <w:contextualSpacing w:val="0"/>
        <w:rPr>
          <w:b/>
        </w:rPr>
      </w:pPr>
      <w:r>
        <w:rPr>
          <w:b/>
        </w:rPr>
        <w:t>What effect will the imposition of interim rates prior to the end of the currently imposed February 1, 2021 suspension period have on the systems whose own proposed effective dates are as late as 2023?</w:t>
      </w:r>
    </w:p>
    <w:p w14:paraId="5F6A0862" w14:textId="018DE99B" w:rsidR="004333A7" w:rsidRPr="004333A7" w:rsidRDefault="00001175" w:rsidP="00941645">
      <w:pPr>
        <w:pStyle w:val="ListParagraph"/>
        <w:spacing w:after="120" w:line="360" w:lineRule="auto"/>
        <w:contextualSpacing w:val="0"/>
        <w:rPr>
          <w:bCs/>
        </w:rPr>
      </w:pPr>
      <w:r>
        <w:rPr>
          <w:bCs/>
        </w:rPr>
        <w:t>T</w:t>
      </w:r>
      <w:r w:rsidR="004333A7">
        <w:rPr>
          <w:bCs/>
        </w:rPr>
        <w:t>he imposition of interim rates prior to February 1, 2021 does not apply to the systems</w:t>
      </w:r>
      <w:r w:rsidR="009A0EC5">
        <w:rPr>
          <w:bCs/>
        </w:rPr>
        <w:t xml:space="preserve"> </w:t>
      </w:r>
      <w:r w:rsidR="004333A7">
        <w:rPr>
          <w:bCs/>
        </w:rPr>
        <w:t>whose own proposed effective dates are as late as 2023</w:t>
      </w:r>
      <w:r w:rsidR="00D77B9E">
        <w:rPr>
          <w:bCs/>
        </w:rPr>
        <w:t xml:space="preserve">. </w:t>
      </w:r>
    </w:p>
    <w:p w14:paraId="3C744AC1" w14:textId="07AD0813" w:rsidR="00D27675" w:rsidRPr="00D27675" w:rsidRDefault="00703AAD" w:rsidP="00941645">
      <w:pPr>
        <w:pStyle w:val="ListParagraph"/>
        <w:numPr>
          <w:ilvl w:val="0"/>
          <w:numId w:val="27"/>
        </w:numPr>
        <w:spacing w:after="120" w:line="360" w:lineRule="auto"/>
        <w:ind w:left="720" w:hanging="720"/>
        <w:contextualSpacing w:val="0"/>
        <w:rPr>
          <w:b/>
          <w:bCs/>
        </w:rPr>
      </w:pPr>
      <w:r w:rsidRPr="00D27675">
        <w:rPr>
          <w:b/>
          <w:bCs/>
        </w:rPr>
        <w:t>What effect will the imposition of interim rates prior to the end of the currently imposed February 1, 2021 suspension period have if the requested consolidation is not approved?</w:t>
      </w:r>
    </w:p>
    <w:p w14:paraId="11313351" w14:textId="4E7AE7B1" w:rsidR="00697B6B" w:rsidRDefault="00E77EDE" w:rsidP="00941645">
      <w:pPr>
        <w:spacing w:after="120" w:line="360" w:lineRule="auto"/>
        <w:ind w:left="720"/>
      </w:pPr>
      <w:r>
        <w:t xml:space="preserve">Under </w:t>
      </w:r>
      <w:r w:rsidR="00AA03CF">
        <w:t>TWC</w:t>
      </w:r>
      <w:r>
        <w:t xml:space="preserve"> </w:t>
      </w:r>
      <w:r w:rsidRPr="0051637F">
        <w:t>§</w:t>
      </w:r>
      <w:r>
        <w:t xml:space="preserve"> 13.145(b), Monarch’s request for a consolidated tariff should be approved. While TWC </w:t>
      </w:r>
      <w:r w:rsidRPr="0051637F">
        <w:t>§</w:t>
      </w:r>
      <w:r>
        <w:t xml:space="preserve"> 13.145(a) </w:t>
      </w:r>
      <w:r w:rsidR="00AA03CF">
        <w:t xml:space="preserve">sets out </w:t>
      </w:r>
      <w:r w:rsidR="005103FF">
        <w:t xml:space="preserve">general requirements </w:t>
      </w:r>
      <w:r w:rsidR="0084092D">
        <w:t xml:space="preserve">necessary </w:t>
      </w:r>
      <w:r w:rsidR="005103FF">
        <w:t xml:space="preserve">for a utility to obtain a consolidated tariff, TWC </w:t>
      </w:r>
      <w:r w:rsidR="005103FF" w:rsidRPr="0051637F">
        <w:t>§</w:t>
      </w:r>
      <w:r w:rsidR="005103FF">
        <w:t xml:space="preserve"> 13.145(b) contains a legislative carve-out specifically </w:t>
      </w:r>
      <w:r w:rsidR="00B87840">
        <w:t>allowing</w:t>
      </w:r>
      <w:r w:rsidR="005103FF">
        <w:t xml:space="preserve"> </w:t>
      </w:r>
      <w:r w:rsidR="005103FF">
        <w:lastRenderedPageBreak/>
        <w:t>Monarch</w:t>
      </w:r>
      <w:r w:rsidR="0084092D">
        <w:t xml:space="preserve"> to obtain a consolidated tariff without fulfilling t</w:t>
      </w:r>
      <w:r w:rsidR="005103FF">
        <w:t>he requirements</w:t>
      </w:r>
      <w:r w:rsidR="00B87840">
        <w:t xml:space="preserve"> in subsection (a)</w:t>
      </w:r>
      <w:r w:rsidR="00D51E61">
        <w:t>.</w:t>
      </w:r>
      <w:r w:rsidR="00D51E61">
        <w:rPr>
          <w:rStyle w:val="FootnoteReference"/>
        </w:rPr>
        <w:footnoteReference w:id="4"/>
      </w:r>
      <w:r w:rsidR="007064EC">
        <w:t xml:space="preserve"> Because Monarch qualifies for an exemption to the </w:t>
      </w:r>
      <w:r w:rsidR="0030260C">
        <w:t>requirements</w:t>
      </w:r>
      <w:r w:rsidR="007064EC">
        <w:t xml:space="preserve"> in TWC § 13.145(a), Monarch’s request for a consolidated tariff should be approved. </w:t>
      </w:r>
    </w:p>
    <w:p w14:paraId="11940B7F" w14:textId="34266C9F" w:rsidR="007A18A5" w:rsidRPr="00D27675" w:rsidRDefault="007A18A5" w:rsidP="00941645">
      <w:pPr>
        <w:pStyle w:val="ListParagraph"/>
        <w:numPr>
          <w:ilvl w:val="0"/>
          <w:numId w:val="27"/>
        </w:numPr>
        <w:spacing w:after="120" w:line="360" w:lineRule="auto"/>
        <w:ind w:left="720" w:hanging="720"/>
        <w:contextualSpacing w:val="0"/>
        <w:rPr>
          <w:b/>
          <w:bCs/>
        </w:rPr>
      </w:pPr>
      <w:r w:rsidRPr="00D27675">
        <w:rPr>
          <w:b/>
          <w:bCs/>
        </w:rPr>
        <w:t>How will surcharges or refunds be allocated if consolidation is approved?</w:t>
      </w:r>
    </w:p>
    <w:p w14:paraId="38667609" w14:textId="5C1746CB" w:rsidR="007A18A5" w:rsidRDefault="0084092D" w:rsidP="00941645">
      <w:pPr>
        <w:pStyle w:val="ListParagraph"/>
        <w:spacing w:after="120" w:line="360" w:lineRule="auto"/>
        <w:contextualSpacing w:val="0"/>
      </w:pPr>
      <w:r>
        <w:t xml:space="preserve">In the event that the approved consolidation rates differ from the interim rates, any </w:t>
      </w:r>
      <w:r w:rsidR="003F1EEB">
        <w:t xml:space="preserve">surcharge or refund would be allocated as described under 16 </w:t>
      </w:r>
      <w:r w:rsidR="0030260C">
        <w:t>TAC</w:t>
      </w:r>
      <w:r w:rsidR="003F1EEB">
        <w:t xml:space="preserve">) </w:t>
      </w:r>
      <w:r w:rsidR="003F1EEB" w:rsidRPr="0051637F">
        <w:t>§§</w:t>
      </w:r>
      <w:r w:rsidR="003F1EEB">
        <w:t xml:space="preserve"> (h)-(i).</w:t>
      </w:r>
      <w:r w:rsidR="003F1EEB">
        <w:rPr>
          <w:rStyle w:val="FootnoteReference"/>
        </w:rPr>
        <w:footnoteReference w:id="5"/>
      </w:r>
      <w:r w:rsidR="003F1EEB">
        <w:t xml:space="preserve"> Specifically, if the proposed interim rates are higher than the final approved rates, 16 TAC </w:t>
      </w:r>
      <w:r w:rsidR="003F1EEB" w:rsidRPr="0051637F">
        <w:t>§</w:t>
      </w:r>
      <w:r w:rsidR="003F1EEB">
        <w:t xml:space="preserve"> 24.37(h) states that</w:t>
      </w:r>
      <w:r w:rsidR="007A18A5">
        <w:t xml:space="preserve"> </w:t>
      </w:r>
      <w:r w:rsidR="003F1EEB">
        <w:t>“</w:t>
      </w:r>
      <w:r w:rsidR="007A18A5">
        <w:t xml:space="preserve">the retail public utility shall refund or credit against future bills all sums collected in excess of the rate finally ordered plus interest as determined by the commission in a reasonable number of monthly installments.” </w:t>
      </w:r>
      <w:r w:rsidR="003F1EEB">
        <w:t xml:space="preserve">Alternatively, if the proposed interim rates are lower than the final approved rates, 16 TAC </w:t>
      </w:r>
      <w:r w:rsidR="003F1EEB" w:rsidRPr="0051637F">
        <w:t>§</w:t>
      </w:r>
      <w:r w:rsidR="003F1EEB">
        <w:t xml:space="preserve"> 24.37(i) states that “the retail public utility shall be authorized by the commission to collect the difference, in a reasonable number of monthly installments, from its customers for the amounts by which the rate finally ordered exceeds the interim rates.”</w:t>
      </w:r>
    </w:p>
    <w:p w14:paraId="4B578DEC" w14:textId="77777777" w:rsidR="007064EC" w:rsidRPr="007064EC" w:rsidRDefault="007064EC" w:rsidP="00941645">
      <w:pPr>
        <w:spacing w:after="120" w:line="360" w:lineRule="auto"/>
        <w:ind w:left="720" w:hanging="720"/>
        <w:rPr>
          <w:b/>
          <w:bCs/>
        </w:rPr>
      </w:pPr>
      <w:r w:rsidRPr="007064EC">
        <w:rPr>
          <w:b/>
          <w:bCs/>
        </w:rPr>
        <w:t>6.</w:t>
      </w:r>
      <w:r w:rsidRPr="007064EC">
        <w:rPr>
          <w:b/>
          <w:bCs/>
        </w:rPr>
        <w:tab/>
        <w:t xml:space="preserve">Given the proposal to set, beginning on September 18, 2020, interim rates at their current level until February 1, 2021, how will Monarch alert each affected ratepayer to the imposition of interim rates with </w:t>
      </w:r>
      <w:proofErr w:type="gramStart"/>
      <w:r w:rsidRPr="007064EC">
        <w:rPr>
          <w:b/>
          <w:bCs/>
        </w:rPr>
        <w:t>sufficient</w:t>
      </w:r>
      <w:proofErr w:type="gramEnd"/>
      <w:r w:rsidRPr="007064EC">
        <w:rPr>
          <w:b/>
          <w:bCs/>
        </w:rPr>
        <w:t xml:space="preserve"> specificity?</w:t>
      </w:r>
    </w:p>
    <w:p w14:paraId="78EC65A1" w14:textId="6E2715CD" w:rsidR="007064EC" w:rsidRPr="007064EC" w:rsidRDefault="007064EC" w:rsidP="00941645">
      <w:pPr>
        <w:spacing w:after="120" w:line="360" w:lineRule="auto"/>
        <w:ind w:left="720"/>
      </w:pPr>
      <w:r w:rsidRPr="007064EC">
        <w:t xml:space="preserve">According to 16 </w:t>
      </w:r>
      <w:r w:rsidR="00E56E67">
        <w:t>TAC</w:t>
      </w:r>
      <w:r w:rsidRPr="007064EC">
        <w:t xml:space="preserve"> § 24.37(j), Monarch must provide notice to its customers and include the interim rates set by the presiding officer with the first billing at the interim rates. Monarch’s notice must contain the following wording, “The presiding officer has established the following interim rates to be in effect until </w:t>
      </w:r>
      <w:r w:rsidR="008E4B52">
        <w:t>the final decision on the requested rate change or until another interim rate is established.”</w:t>
      </w:r>
    </w:p>
    <w:p w14:paraId="2003DBF5" w14:textId="5D5527B2" w:rsidR="007064EC" w:rsidRPr="007064EC" w:rsidRDefault="007064EC" w:rsidP="00941645">
      <w:pPr>
        <w:spacing w:after="120" w:line="360" w:lineRule="auto"/>
        <w:rPr>
          <w:b/>
          <w:bCs/>
        </w:rPr>
      </w:pPr>
      <w:r w:rsidRPr="007064EC">
        <w:rPr>
          <w:b/>
          <w:bCs/>
        </w:rPr>
        <w:t>7</w:t>
      </w:r>
      <w:r w:rsidR="008E4B52">
        <w:rPr>
          <w:b/>
          <w:bCs/>
        </w:rPr>
        <w:t>.</w:t>
      </w:r>
      <w:r w:rsidRPr="007064EC">
        <w:rPr>
          <w:b/>
          <w:bCs/>
        </w:rPr>
        <w:tab/>
        <w:t>As posed in the Commission’s preliminary order:</w:t>
      </w:r>
    </w:p>
    <w:p w14:paraId="4F1A1341" w14:textId="6C7C45D1" w:rsidR="007064EC" w:rsidRPr="007064EC" w:rsidRDefault="007064EC" w:rsidP="00941645">
      <w:pPr>
        <w:spacing w:after="120" w:line="360" w:lineRule="auto"/>
        <w:ind w:left="1440" w:hanging="720"/>
        <w:rPr>
          <w:b/>
          <w:bCs/>
        </w:rPr>
      </w:pPr>
      <w:r w:rsidRPr="007064EC">
        <w:rPr>
          <w:b/>
          <w:bCs/>
        </w:rPr>
        <w:lastRenderedPageBreak/>
        <w:t>a.</w:t>
      </w:r>
      <w:r w:rsidRPr="007064EC">
        <w:rPr>
          <w:b/>
          <w:bCs/>
        </w:rPr>
        <w:tab/>
        <w:t>Has the utility met the requirements for interim rates? If so, what are the appropriate levels of the interim rates under 16 Texas Administrative Code §</w:t>
      </w:r>
      <w:r w:rsidR="008E4B52">
        <w:rPr>
          <w:b/>
          <w:bCs/>
        </w:rPr>
        <w:t> </w:t>
      </w:r>
      <w:r w:rsidRPr="007064EC">
        <w:rPr>
          <w:b/>
          <w:bCs/>
        </w:rPr>
        <w:t>24.37?</w:t>
      </w:r>
    </w:p>
    <w:p w14:paraId="7EC7B08F" w14:textId="2661BD86" w:rsidR="001545F8" w:rsidRPr="007064EC" w:rsidRDefault="0055422C" w:rsidP="00941645">
      <w:pPr>
        <w:spacing w:after="120" w:line="360" w:lineRule="auto"/>
        <w:ind w:left="720"/>
      </w:pPr>
      <w:r>
        <w:t xml:space="preserve">The requirements for interim rates are found in </w:t>
      </w:r>
      <w:r w:rsidR="00B0438F">
        <w:t>16 TAC § 24.37(b)</w:t>
      </w:r>
      <w:r>
        <w:t xml:space="preserve"> which states that</w:t>
      </w:r>
      <w:r w:rsidR="00B0438F">
        <w:t xml:space="preserve"> “[a]t any time after the filing of a statement of intent to change rates under Chapter 13 of TWC the commission staff may petition the commission to set interim rates to remain in effect until further commission action or a final rate determination is made.” </w:t>
      </w:r>
      <w:r w:rsidR="008E4B52">
        <w:t xml:space="preserve">Additionally, as required by 16 TAC </w:t>
      </w:r>
      <w:r w:rsidR="008E4B52" w:rsidRPr="0051637F">
        <w:t>§</w:t>
      </w:r>
      <w:r w:rsidR="008E4B52">
        <w:t xml:space="preserve"> 24.37(e)(1),</w:t>
      </w:r>
      <w:r w:rsidR="00B0438F">
        <w:t xml:space="preserve"> the interim rates agreed to by the parties </w:t>
      </w:r>
      <w:r w:rsidR="008E4B52">
        <w:t>are</w:t>
      </w:r>
      <w:r w:rsidR="00B0438F">
        <w:t xml:space="preserve"> not lower than the authorized rates prior to the proposed increase nor higher than the requested interim rates</w:t>
      </w:r>
      <w:r w:rsidR="0080649F">
        <w:t xml:space="preserve">. </w:t>
      </w:r>
      <w:r w:rsidR="008E4B52">
        <w:t>I</w:t>
      </w:r>
      <w:r w:rsidR="00D27675">
        <w:t>f the rates approved in the Commission’s Final Order differ from the interim rates</w:t>
      </w:r>
      <w:r w:rsidR="008E4B52">
        <w:t>,</w:t>
      </w:r>
      <w:r w:rsidR="00D27675">
        <w:t xml:space="preserve"> any surcharge or refund would be allocated as described under 16 </w:t>
      </w:r>
      <w:r w:rsidR="008E4B52">
        <w:t xml:space="preserve">TAC </w:t>
      </w:r>
      <w:r w:rsidR="00D27675" w:rsidRPr="0051637F">
        <w:t>§§</w:t>
      </w:r>
      <w:r w:rsidR="00D27675">
        <w:t xml:space="preserve"> (h)-(i).</w:t>
      </w:r>
      <w:r w:rsidR="008E4B52">
        <w:t xml:space="preserve"> </w:t>
      </w:r>
      <w:r w:rsidR="0080649F">
        <w:t>Furthermore</w:t>
      </w:r>
      <w:r>
        <w:t xml:space="preserve">, interim rates were set </w:t>
      </w:r>
      <w:r w:rsidR="00776A8B">
        <w:t>by agreement</w:t>
      </w:r>
      <w:r>
        <w:t xml:space="preserve"> in</w:t>
      </w:r>
      <w:r w:rsidR="0080649F">
        <w:t xml:space="preserve"> the</w:t>
      </w:r>
      <w:r>
        <w:t xml:space="preserve"> </w:t>
      </w:r>
      <w:r w:rsidRPr="00B21500">
        <w:rPr>
          <w:i/>
          <w:iCs/>
        </w:rPr>
        <w:t>Application of Kendall West Utility, LLC for Authority to Change Rates</w:t>
      </w:r>
      <w:r w:rsidR="004E7441" w:rsidRPr="00941645">
        <w:rPr>
          <w:rStyle w:val="FootnoteReference"/>
        </w:rPr>
        <w:footnoteReference w:id="6"/>
      </w:r>
      <w:r>
        <w:t xml:space="preserve"> and in the </w:t>
      </w:r>
      <w:r w:rsidRPr="0055422C">
        <w:rPr>
          <w:i/>
          <w:iCs/>
        </w:rPr>
        <w:t>Application of Undine Texas, LLC and Undine Texas Environmental, LLC for Authority to Change Rates</w:t>
      </w:r>
      <w:r w:rsidRPr="0055422C">
        <w:t>.</w:t>
      </w:r>
      <w:r w:rsidR="0080649F">
        <w:rPr>
          <w:rStyle w:val="FootnoteReference"/>
        </w:rPr>
        <w:footnoteReference w:id="7"/>
      </w:r>
      <w:bookmarkStart w:id="2" w:name="_GoBack"/>
      <w:bookmarkEnd w:id="2"/>
    </w:p>
    <w:p w14:paraId="56CC87D6" w14:textId="77777777" w:rsidR="007064EC" w:rsidRPr="007064EC" w:rsidRDefault="007064EC" w:rsidP="00941645">
      <w:pPr>
        <w:spacing w:after="120" w:line="360" w:lineRule="auto"/>
        <w:ind w:left="1440" w:hanging="720"/>
        <w:rPr>
          <w:b/>
          <w:bCs/>
        </w:rPr>
      </w:pPr>
      <w:r w:rsidRPr="007064EC">
        <w:rPr>
          <w:b/>
          <w:bCs/>
        </w:rPr>
        <w:t>b.</w:t>
      </w:r>
      <w:r w:rsidRPr="007064EC">
        <w:rPr>
          <w:b/>
          <w:bCs/>
        </w:rPr>
        <w:tab/>
        <w:t xml:space="preserve">If a refund or surcharge results from this proceeding, how and over what </w:t>
      </w:r>
      <w:proofErr w:type="gramStart"/>
      <w:r w:rsidRPr="007064EC">
        <w:rPr>
          <w:b/>
          <w:bCs/>
        </w:rPr>
        <w:t>period of time</w:t>
      </w:r>
      <w:proofErr w:type="gramEnd"/>
      <w:r w:rsidRPr="007064EC">
        <w:rPr>
          <w:b/>
          <w:bCs/>
        </w:rPr>
        <w:t xml:space="preserve"> should the refund or surcharge be made?</w:t>
      </w:r>
    </w:p>
    <w:p w14:paraId="4DD68CF2" w14:textId="2AD7650F" w:rsidR="0058513A" w:rsidRDefault="00F83417" w:rsidP="00941645">
      <w:pPr>
        <w:pStyle w:val="ListParagraph"/>
        <w:spacing w:after="120" w:line="360" w:lineRule="auto"/>
        <w:contextualSpacing w:val="0"/>
      </w:pPr>
      <w:r>
        <w:t xml:space="preserve">As discussed above, </w:t>
      </w:r>
      <w:proofErr w:type="gramStart"/>
      <w:r>
        <w:t>in the event that</w:t>
      </w:r>
      <w:proofErr w:type="gramEnd"/>
      <w:r>
        <w:t xml:space="preserve"> the </w:t>
      </w:r>
      <w:r w:rsidR="0058513A">
        <w:t>rates approved in the Commission’s Final Order differ from the interim rates</w:t>
      </w:r>
      <w:r w:rsidR="004E7441">
        <w:t>,</w:t>
      </w:r>
      <w:r w:rsidR="0058513A">
        <w:t xml:space="preserve"> any surcharge or refund would be allocated as described under 16 </w:t>
      </w:r>
      <w:r w:rsidR="004E7441">
        <w:t>TAC</w:t>
      </w:r>
      <w:r w:rsidR="0058513A">
        <w:t xml:space="preserve"> </w:t>
      </w:r>
      <w:r w:rsidR="0058513A" w:rsidRPr="0051637F">
        <w:t>§§</w:t>
      </w:r>
      <w:r w:rsidR="0058513A">
        <w:t xml:space="preserve"> (h)-(i). Specifically, if the proposed interim rates are higher than the final approved rates, 16 TAC </w:t>
      </w:r>
      <w:r w:rsidR="0058513A" w:rsidRPr="0051637F">
        <w:t>§</w:t>
      </w:r>
      <w:r w:rsidR="0058513A">
        <w:t xml:space="preserve"> 24.37(h) states that “the retail public utility shall refund or credit against future bills all sums collected in excess of the rate finally ordered plus interest as determined by the commission in a reasonable number of monthly installments.” Alternatively, if the proposed interim rates are lower than the final approved rates, 16 TAC </w:t>
      </w:r>
      <w:r w:rsidR="0058513A" w:rsidRPr="0051637F">
        <w:t>§</w:t>
      </w:r>
      <w:r w:rsidR="0058513A">
        <w:t xml:space="preserve"> 24.37(i) states that “the retail public utility shall be authorized by the commission to collect the difference, in a reasonable number of monthly installments, from its customers for the amounts by which the rate finally ordered exceeds the interim rates.” </w:t>
      </w:r>
    </w:p>
    <w:p w14:paraId="04EAE00E" w14:textId="77777777" w:rsidR="007064EC" w:rsidRPr="007064EC" w:rsidRDefault="007064EC" w:rsidP="00941645">
      <w:pPr>
        <w:spacing w:after="120" w:line="360" w:lineRule="auto"/>
        <w:ind w:left="720" w:hanging="720"/>
        <w:rPr>
          <w:b/>
          <w:bCs/>
        </w:rPr>
      </w:pPr>
      <w:r w:rsidRPr="007064EC">
        <w:rPr>
          <w:b/>
          <w:bCs/>
        </w:rPr>
        <w:lastRenderedPageBreak/>
        <w:t>8.</w:t>
      </w:r>
      <w:r w:rsidRPr="007064EC">
        <w:rPr>
          <w:b/>
          <w:bCs/>
        </w:rPr>
        <w:tab/>
        <w:t xml:space="preserve">If any of these questions have caused a party to reconsider its agreement regarding the procedural schedule, how should that schedule be modified </w:t>
      </w:r>
      <w:proofErr w:type="gramStart"/>
      <w:r w:rsidRPr="007064EC">
        <w:rPr>
          <w:b/>
          <w:bCs/>
        </w:rPr>
        <w:t>so as to</w:t>
      </w:r>
      <w:proofErr w:type="gramEnd"/>
      <w:r w:rsidRPr="007064EC">
        <w:rPr>
          <w:b/>
          <w:bCs/>
        </w:rPr>
        <w:t xml:space="preserve"> satisfy all parties while promoting administrative efficiency to the extent possible?</w:t>
      </w:r>
    </w:p>
    <w:p w14:paraId="41A227C4" w14:textId="3FAADF34" w:rsidR="007064EC" w:rsidRPr="007064EC" w:rsidRDefault="007064EC" w:rsidP="00941645">
      <w:pPr>
        <w:spacing w:after="120" w:line="360" w:lineRule="auto"/>
        <w:ind w:left="720"/>
      </w:pPr>
      <w:r w:rsidRPr="007064EC">
        <w:t xml:space="preserve">None of the questions have caused </w:t>
      </w:r>
      <w:r w:rsidR="009A0EC5">
        <w:t xml:space="preserve">Commission </w:t>
      </w:r>
      <w:r w:rsidRPr="007064EC">
        <w:t xml:space="preserve">Staff to reconsider its agreement regarding the procedural schedule. However, if the parties’ agreement on interim rates and proposed procedural schedule is not adopted, </w:t>
      </w:r>
      <w:r w:rsidR="009A0EC5">
        <w:t xml:space="preserve">Commission </w:t>
      </w:r>
      <w:r w:rsidRPr="007064EC">
        <w:t xml:space="preserve">Staff requests a </w:t>
      </w:r>
      <w:r w:rsidR="00F83417">
        <w:t>pre-</w:t>
      </w:r>
      <w:r w:rsidRPr="007064EC">
        <w:t xml:space="preserve">hearing </w:t>
      </w:r>
      <w:r w:rsidR="00F83417">
        <w:t xml:space="preserve">conference </w:t>
      </w:r>
      <w:r w:rsidR="009A0EC5">
        <w:t>to discuss</w:t>
      </w:r>
      <w:r w:rsidR="009A0EC5" w:rsidRPr="007064EC">
        <w:t xml:space="preserve"> </w:t>
      </w:r>
      <w:r w:rsidRPr="007064EC">
        <w:t>those matters.</w:t>
      </w:r>
    </w:p>
    <w:p w14:paraId="2054EED0" w14:textId="77777777" w:rsidR="006139C3" w:rsidRDefault="006139C3" w:rsidP="005F21A8">
      <w:pPr>
        <w:pStyle w:val="ListParagraph"/>
        <w:spacing w:line="360" w:lineRule="auto"/>
        <w:ind w:left="0"/>
        <w:rPr>
          <w:b/>
        </w:rPr>
      </w:pPr>
    </w:p>
    <w:p w14:paraId="327F99F1" w14:textId="1A665B0A" w:rsidR="00C066FB" w:rsidRPr="00941645" w:rsidRDefault="00C066FB" w:rsidP="00941645">
      <w:pPr>
        <w:pStyle w:val="ListParagraph"/>
        <w:numPr>
          <w:ilvl w:val="0"/>
          <w:numId w:val="10"/>
        </w:numPr>
        <w:spacing w:line="360" w:lineRule="auto"/>
        <w:ind w:left="720"/>
        <w:jc w:val="center"/>
        <w:rPr>
          <w:b/>
        </w:rPr>
      </w:pPr>
      <w:r w:rsidRPr="00941645">
        <w:rPr>
          <w:b/>
        </w:rPr>
        <w:t>CONCLUSION</w:t>
      </w:r>
    </w:p>
    <w:p w14:paraId="65A83A37" w14:textId="4740D73D" w:rsidR="000B42BD" w:rsidRPr="000B42BD" w:rsidRDefault="000B42BD" w:rsidP="000B42BD">
      <w:pPr>
        <w:spacing w:line="360" w:lineRule="auto"/>
        <w:ind w:firstLine="720"/>
        <w:rPr>
          <w:bCs/>
        </w:rPr>
      </w:pPr>
      <w:r>
        <w:rPr>
          <w:bCs/>
        </w:rPr>
        <w:t xml:space="preserve">Staff respectfully requests adoption of the parties’ agreement on interim rates and proposed procedural schedule. Staff also respectfully requests a prehearing conference to discuss matters related to interim rates and the proposed procedural schedule if for any reason the parties’ agreement is not adopted. </w:t>
      </w:r>
    </w:p>
    <w:p w14:paraId="55177925" w14:textId="3D851CC9" w:rsidR="00975CB2" w:rsidRDefault="00975CB2" w:rsidP="00FF7D99">
      <w:pPr>
        <w:autoSpaceDE w:val="0"/>
        <w:autoSpaceDN w:val="0"/>
        <w:adjustRightInd w:val="0"/>
        <w:spacing w:line="360" w:lineRule="auto"/>
      </w:pPr>
    </w:p>
    <w:p w14:paraId="259D8986" w14:textId="77777777" w:rsidR="005F21A8" w:rsidRPr="00FF7D99" w:rsidRDefault="005F21A8" w:rsidP="00FF7D99">
      <w:pPr>
        <w:autoSpaceDE w:val="0"/>
        <w:autoSpaceDN w:val="0"/>
        <w:adjustRightInd w:val="0"/>
        <w:spacing w:line="360" w:lineRule="auto"/>
        <w:rPr>
          <w:szCs w:val="24"/>
        </w:rPr>
      </w:pPr>
    </w:p>
    <w:p w14:paraId="5FC5E8E9" w14:textId="77777777" w:rsidR="00A426B9" w:rsidRDefault="00A426B9">
      <w:pPr>
        <w:jc w:val="left"/>
      </w:pPr>
      <w:r>
        <w:br w:type="page"/>
      </w:r>
    </w:p>
    <w:p w14:paraId="3BEFE9CE" w14:textId="2F44576F"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941645">
        <w:rPr>
          <w:noProof/>
        </w:rPr>
        <w:t>October 9,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657C62EF" w14:textId="77777777" w:rsidR="0013268C" w:rsidRDefault="0013268C" w:rsidP="0013268C">
      <w:pPr>
        <w:rPr>
          <w:szCs w:val="24"/>
        </w:rPr>
      </w:pPr>
    </w:p>
    <w:p w14:paraId="6FEC63C2" w14:textId="77777777" w:rsidR="0013268C" w:rsidRDefault="0013268C" w:rsidP="0013268C">
      <w:pPr>
        <w:rPr>
          <w:szCs w:val="24"/>
        </w:rPr>
      </w:pPr>
    </w:p>
    <w:p w14:paraId="5ABBE9C2" w14:textId="463C40A9" w:rsidR="0013268C" w:rsidRDefault="0013268C" w:rsidP="0013268C">
      <w:pPr>
        <w:rPr>
          <w:szCs w:val="24"/>
        </w:rPr>
      </w:pPr>
      <w:r>
        <w:rPr>
          <w:szCs w:val="24"/>
        </w:rPr>
        <w:tab/>
      </w:r>
      <w:r>
        <w:rPr>
          <w:szCs w:val="24"/>
        </w:rPr>
        <w:tab/>
      </w:r>
      <w:r>
        <w:rPr>
          <w:szCs w:val="24"/>
        </w:rPr>
        <w:tab/>
      </w:r>
      <w:r>
        <w:rPr>
          <w:szCs w:val="24"/>
        </w:rPr>
        <w:tab/>
      </w:r>
      <w:r>
        <w:rPr>
          <w:szCs w:val="24"/>
        </w:rPr>
        <w:tab/>
      </w:r>
      <w:r>
        <w:rPr>
          <w:szCs w:val="24"/>
        </w:rPr>
        <w:tab/>
      </w:r>
      <w:r w:rsidR="001C2DF0" w:rsidRPr="00B32410">
        <w:rPr>
          <w:i/>
          <w:iCs/>
          <w:szCs w:val="24"/>
          <w:u w:val="single"/>
        </w:rPr>
        <w:t>/s/Courtney Dean</w:t>
      </w:r>
      <w:r>
        <w:rPr>
          <w:szCs w:val="24"/>
        </w:rPr>
        <w:t>_______________</w:t>
      </w:r>
    </w:p>
    <w:p w14:paraId="3247A52E" w14:textId="00654738" w:rsidR="001261C3" w:rsidRDefault="0013268C" w:rsidP="0013268C">
      <w:pPr>
        <w:rPr>
          <w:szCs w:val="24"/>
        </w:rPr>
      </w:pPr>
      <w:r>
        <w:rPr>
          <w:szCs w:val="24"/>
        </w:rPr>
        <w:tab/>
      </w:r>
      <w:r>
        <w:rPr>
          <w:szCs w:val="24"/>
        </w:rPr>
        <w:tab/>
      </w:r>
      <w:r>
        <w:rPr>
          <w:szCs w:val="24"/>
        </w:rPr>
        <w:tab/>
      </w:r>
      <w:r>
        <w:rPr>
          <w:szCs w:val="24"/>
        </w:rPr>
        <w:tab/>
      </w:r>
      <w:r>
        <w:rPr>
          <w:szCs w:val="24"/>
        </w:rPr>
        <w:tab/>
      </w:r>
      <w:r>
        <w:rPr>
          <w:szCs w:val="24"/>
        </w:rPr>
        <w:tab/>
      </w:r>
      <w:bookmarkStart w:id="3" w:name="_Hlk44400483"/>
      <w:r w:rsidR="001261C3">
        <w:rPr>
          <w:szCs w:val="24"/>
        </w:rPr>
        <w:t>Rashmin J. Asher</w:t>
      </w:r>
    </w:p>
    <w:p w14:paraId="4869D87B" w14:textId="43897B3B" w:rsidR="001261C3" w:rsidRDefault="001261C3" w:rsidP="0013268C">
      <w:pPr>
        <w:rPr>
          <w:szCs w:val="24"/>
        </w:rPr>
      </w:pPr>
      <w:r>
        <w:rPr>
          <w:szCs w:val="24"/>
        </w:rPr>
        <w:tab/>
      </w:r>
      <w:r>
        <w:rPr>
          <w:szCs w:val="24"/>
        </w:rPr>
        <w:tab/>
      </w:r>
      <w:r>
        <w:rPr>
          <w:szCs w:val="24"/>
        </w:rPr>
        <w:tab/>
      </w:r>
      <w:r>
        <w:rPr>
          <w:szCs w:val="24"/>
        </w:rPr>
        <w:tab/>
      </w:r>
      <w:r>
        <w:rPr>
          <w:szCs w:val="24"/>
        </w:rPr>
        <w:tab/>
      </w:r>
      <w:r>
        <w:rPr>
          <w:szCs w:val="24"/>
        </w:rPr>
        <w:tab/>
        <w:t>State Bar No. 24092058</w:t>
      </w:r>
    </w:p>
    <w:p w14:paraId="0C4951D1" w14:textId="407A82BC" w:rsidR="001261C3" w:rsidRDefault="001261C3" w:rsidP="0013268C">
      <w:pPr>
        <w:rPr>
          <w:szCs w:val="24"/>
        </w:rPr>
      </w:pPr>
      <w:r>
        <w:rPr>
          <w:szCs w:val="24"/>
        </w:rPr>
        <w:tab/>
      </w:r>
      <w:r>
        <w:rPr>
          <w:szCs w:val="24"/>
        </w:rPr>
        <w:tab/>
      </w:r>
      <w:r>
        <w:rPr>
          <w:szCs w:val="24"/>
        </w:rPr>
        <w:tab/>
      </w:r>
      <w:r>
        <w:rPr>
          <w:szCs w:val="24"/>
        </w:rPr>
        <w:tab/>
      </w:r>
      <w:r>
        <w:rPr>
          <w:szCs w:val="24"/>
        </w:rPr>
        <w:tab/>
      </w:r>
      <w:r>
        <w:rPr>
          <w:szCs w:val="24"/>
        </w:rPr>
        <w:tab/>
        <w:t>Megan Chalifoux</w:t>
      </w:r>
    </w:p>
    <w:p w14:paraId="36F64FF2" w14:textId="7AC43B57" w:rsidR="001261C3" w:rsidRDefault="001261C3" w:rsidP="0013268C">
      <w:pPr>
        <w:rPr>
          <w:szCs w:val="24"/>
        </w:rPr>
      </w:pPr>
      <w:r>
        <w:rPr>
          <w:szCs w:val="24"/>
        </w:rPr>
        <w:tab/>
      </w:r>
      <w:r>
        <w:rPr>
          <w:szCs w:val="24"/>
        </w:rPr>
        <w:tab/>
      </w:r>
      <w:r>
        <w:rPr>
          <w:szCs w:val="24"/>
        </w:rPr>
        <w:tab/>
      </w:r>
      <w:r>
        <w:rPr>
          <w:szCs w:val="24"/>
        </w:rPr>
        <w:tab/>
      </w:r>
      <w:r>
        <w:rPr>
          <w:szCs w:val="24"/>
        </w:rPr>
        <w:tab/>
      </w:r>
      <w:r>
        <w:rPr>
          <w:szCs w:val="24"/>
        </w:rPr>
        <w:tab/>
        <w:t>State Bar No. 2407</w:t>
      </w:r>
      <w:r w:rsidR="007D2FF3">
        <w:rPr>
          <w:szCs w:val="24"/>
        </w:rPr>
        <w:t>3674</w:t>
      </w:r>
    </w:p>
    <w:p w14:paraId="7603A10C" w14:textId="164A0FAA" w:rsidR="0013268C" w:rsidRDefault="0013268C" w:rsidP="00C610C1">
      <w:pPr>
        <w:ind w:left="3600" w:firstLine="720"/>
      </w:pPr>
      <w:r>
        <w:rPr>
          <w:szCs w:val="24"/>
        </w:rPr>
        <w:t>Courtney N. Dean</w:t>
      </w:r>
      <w:bookmarkEnd w:id="3"/>
    </w:p>
    <w:p w14:paraId="044646F1" w14:textId="77777777" w:rsidR="0013268C" w:rsidRDefault="0013268C" w:rsidP="0013268C">
      <w:r>
        <w:tab/>
      </w:r>
      <w:r>
        <w:tab/>
      </w:r>
      <w:r>
        <w:tab/>
      </w:r>
      <w:r>
        <w:tab/>
      </w:r>
      <w:r>
        <w:tab/>
      </w:r>
      <w:r>
        <w:tab/>
        <w:t>State Bar No. 24116269</w:t>
      </w:r>
    </w:p>
    <w:p w14:paraId="171C4F83" w14:textId="77777777" w:rsidR="0013268C" w:rsidRDefault="0013268C" w:rsidP="0013268C">
      <w:r>
        <w:tab/>
      </w:r>
      <w:r>
        <w:tab/>
      </w:r>
      <w:r>
        <w:tab/>
      </w:r>
      <w:r>
        <w:tab/>
      </w:r>
      <w:r>
        <w:tab/>
      </w:r>
      <w:r>
        <w:tab/>
        <w:t>1701 N. Congress Avenue</w:t>
      </w:r>
    </w:p>
    <w:p w14:paraId="342324C4" w14:textId="77777777" w:rsidR="0013268C" w:rsidRDefault="0013268C" w:rsidP="0013268C">
      <w:r>
        <w:tab/>
      </w:r>
      <w:r>
        <w:tab/>
      </w:r>
      <w:r>
        <w:tab/>
      </w:r>
      <w:r>
        <w:tab/>
      </w:r>
      <w:r>
        <w:tab/>
      </w:r>
      <w:r>
        <w:tab/>
        <w:t>P.O. Box 13326</w:t>
      </w:r>
    </w:p>
    <w:p w14:paraId="43463451" w14:textId="77777777" w:rsidR="0013268C" w:rsidRDefault="0013268C" w:rsidP="0013268C">
      <w:r>
        <w:tab/>
      </w:r>
      <w:r>
        <w:tab/>
      </w:r>
      <w:r>
        <w:tab/>
      </w:r>
      <w:r>
        <w:tab/>
      </w:r>
      <w:r>
        <w:tab/>
      </w:r>
      <w:r>
        <w:tab/>
        <w:t>Austin, Texas 78711-3326</w:t>
      </w:r>
    </w:p>
    <w:p w14:paraId="7751DB58" w14:textId="77777777" w:rsidR="0013268C" w:rsidRDefault="0013268C" w:rsidP="0013268C">
      <w:r>
        <w:tab/>
      </w:r>
      <w:r>
        <w:tab/>
      </w:r>
      <w:r>
        <w:tab/>
      </w:r>
      <w:r>
        <w:tab/>
      </w:r>
      <w:r>
        <w:tab/>
      </w:r>
      <w:r>
        <w:tab/>
        <w:t>(512) 936-7235</w:t>
      </w:r>
    </w:p>
    <w:p w14:paraId="1A58A998" w14:textId="77777777" w:rsidR="0013268C" w:rsidRDefault="0013268C" w:rsidP="0013268C">
      <w:r>
        <w:tab/>
      </w:r>
      <w:r>
        <w:tab/>
      </w:r>
      <w:r>
        <w:tab/>
      </w:r>
      <w:r>
        <w:tab/>
      </w:r>
      <w:r>
        <w:tab/>
      </w:r>
      <w:r>
        <w:tab/>
        <w:t>(512) 936-7268 (facsimile)</w:t>
      </w:r>
    </w:p>
    <w:p w14:paraId="566EF1FA" w14:textId="315B6844" w:rsidR="005F21A8" w:rsidRDefault="0013268C" w:rsidP="0013268C">
      <w:r>
        <w:tab/>
      </w:r>
      <w:r>
        <w:tab/>
      </w:r>
      <w:r>
        <w:tab/>
      </w:r>
      <w:r>
        <w:tab/>
      </w:r>
      <w:r>
        <w:tab/>
      </w:r>
      <w:r>
        <w:tab/>
      </w:r>
      <w:r w:rsidR="005F21A8" w:rsidRPr="005F21A8">
        <w:t>courtney.dean@puc.texas.gov</w:t>
      </w:r>
    </w:p>
    <w:p w14:paraId="55B9CAD1" w14:textId="77777777" w:rsidR="00A426B9" w:rsidRDefault="00A426B9" w:rsidP="00A426B9">
      <w:pPr>
        <w:jc w:val="left"/>
      </w:pPr>
    </w:p>
    <w:p w14:paraId="38D87B85" w14:textId="77777777" w:rsidR="00A426B9" w:rsidRDefault="00A426B9" w:rsidP="00A426B9">
      <w:pPr>
        <w:jc w:val="left"/>
      </w:pPr>
    </w:p>
    <w:p w14:paraId="68AA0CCD" w14:textId="53A69615" w:rsidR="00B32410" w:rsidRPr="000315BF" w:rsidRDefault="00B32410" w:rsidP="00A426B9">
      <w:pPr>
        <w:jc w:val="center"/>
        <w:rPr>
          <w:b/>
          <w:bCs/>
        </w:rPr>
      </w:pPr>
      <w:r w:rsidRPr="000315BF">
        <w:rPr>
          <w:b/>
          <w:bCs/>
        </w:rPr>
        <w:t>SOAH DOCKET NO. 473-20-4709.WS</w:t>
      </w:r>
    </w:p>
    <w:p w14:paraId="384394B1" w14:textId="57394503" w:rsidR="00712486" w:rsidRPr="00280E5C" w:rsidRDefault="00B32410" w:rsidP="00712486">
      <w:pPr>
        <w:pStyle w:val="Docketnumber"/>
        <w:rPr>
          <w:sz w:val="24"/>
          <w:szCs w:val="24"/>
        </w:rPr>
      </w:pPr>
      <w:r>
        <w:rPr>
          <w:sz w:val="24"/>
          <w:szCs w:val="24"/>
        </w:rPr>
        <w:t xml:space="preserve">PUC </w:t>
      </w:r>
      <w:r w:rsidR="00712486" w:rsidRPr="00280E5C">
        <w:rPr>
          <w:sz w:val="24"/>
          <w:szCs w:val="24"/>
        </w:rPr>
        <w:t xml:space="preserve">DOCKET NO. </w:t>
      </w:r>
      <w:r w:rsidR="000247D4">
        <w:rPr>
          <w:sz w:val="24"/>
          <w:szCs w:val="24"/>
        </w:rPr>
        <w:t>50944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015F9E45"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941645">
        <w:rPr>
          <w:noProof/>
          <w:szCs w:val="24"/>
        </w:rPr>
        <w:t>October 9, 2020</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49F703B4" w:rsidR="00712486" w:rsidRPr="0000799C" w:rsidRDefault="001C2DF0" w:rsidP="00712486">
      <w:pPr>
        <w:keepNext/>
        <w:ind w:left="3600" w:firstLine="720"/>
        <w:rPr>
          <w:szCs w:val="24"/>
        </w:rPr>
      </w:pPr>
      <w:r w:rsidRPr="00B32410">
        <w:rPr>
          <w:i/>
          <w:iCs/>
          <w:szCs w:val="24"/>
          <w:u w:val="single"/>
        </w:rPr>
        <w:t>/s/Courtney Dean</w:t>
      </w:r>
      <w:r w:rsidR="00712486" w:rsidRPr="0000799C">
        <w:rPr>
          <w:szCs w:val="24"/>
        </w:rPr>
        <w:t>_______________</w:t>
      </w:r>
    </w:p>
    <w:p w14:paraId="6F2AA33F" w14:textId="165B59CD" w:rsidR="00C82C8B" w:rsidRPr="00357CB2" w:rsidRDefault="0013268C" w:rsidP="0013268C">
      <w:pPr>
        <w:ind w:left="4320"/>
        <w:rPr>
          <w:rFonts w:eastAsia="Calibri"/>
          <w:szCs w:val="24"/>
        </w:rPr>
      </w:pPr>
      <w:r>
        <w:rPr>
          <w:szCs w:val="24"/>
        </w:rPr>
        <w:t>Courtney N. Dean</w:t>
      </w:r>
    </w:p>
    <w:sectPr w:rsidR="00C82C8B" w:rsidRPr="00357CB2" w:rsidSect="00A03B2B">
      <w:foot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8126751"/>
      <w:docPartObj>
        <w:docPartGallery w:val="Page Numbers (Bottom of Page)"/>
        <w:docPartUnique/>
      </w:docPartObj>
    </w:sdtPr>
    <w:sdtEndPr/>
    <w:sdtContent>
      <w:sdt>
        <w:sdtPr>
          <w:id w:val="1728636285"/>
          <w:docPartObj>
            <w:docPartGallery w:val="Page Numbers (Top of Page)"/>
            <w:docPartUnique/>
          </w:docPartObj>
        </w:sdtPr>
        <w:sdtEndPr/>
        <w:sdtContent>
          <w:p w14:paraId="2597F9A3" w14:textId="7AC49F5D" w:rsidR="00A03B2B" w:rsidRPr="00A03B2B" w:rsidRDefault="00A03B2B">
            <w:pPr>
              <w:pStyle w:val="Footer"/>
              <w:jc w:val="center"/>
            </w:pPr>
            <w:r w:rsidRPr="00A03B2B">
              <w:t xml:space="preserve">Page </w:t>
            </w:r>
            <w:r w:rsidRPr="00A03B2B">
              <w:rPr>
                <w:sz w:val="24"/>
                <w:szCs w:val="24"/>
              </w:rPr>
              <w:fldChar w:fldCharType="begin"/>
            </w:r>
            <w:r w:rsidRPr="00A03B2B">
              <w:instrText xml:space="preserve"> PAGE </w:instrText>
            </w:r>
            <w:r w:rsidRPr="00A03B2B">
              <w:rPr>
                <w:sz w:val="24"/>
                <w:szCs w:val="24"/>
              </w:rPr>
              <w:fldChar w:fldCharType="separate"/>
            </w:r>
            <w:r w:rsidRPr="00A03B2B">
              <w:rPr>
                <w:noProof/>
              </w:rPr>
              <w:t>2</w:t>
            </w:r>
            <w:r w:rsidRPr="00A03B2B">
              <w:rPr>
                <w:sz w:val="24"/>
                <w:szCs w:val="24"/>
              </w:rPr>
              <w:fldChar w:fldCharType="end"/>
            </w:r>
            <w:r w:rsidRPr="00A03B2B">
              <w:t xml:space="preserve"> of </w:t>
            </w:r>
            <w:fldSimple w:instr=" NUMPAGES  ">
              <w:r w:rsidRPr="00A03B2B">
                <w:rPr>
                  <w:noProof/>
                </w:rPr>
                <w:t>2</w:t>
              </w:r>
            </w:fldSimple>
          </w:p>
        </w:sdtContent>
      </w:sdt>
    </w:sdtContent>
  </w:sdt>
  <w:p w14:paraId="7A34AF67" w14:textId="77777777" w:rsidR="00A03B2B" w:rsidRDefault="00A0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16DA6764" w14:textId="1941AEDA" w:rsidR="00776A8B" w:rsidRDefault="00776A8B" w:rsidP="00941645">
      <w:pPr>
        <w:pStyle w:val="FootnoteText"/>
        <w:spacing w:after="120"/>
        <w:ind w:firstLine="720"/>
      </w:pPr>
      <w:r>
        <w:rPr>
          <w:rStyle w:val="FootnoteReference"/>
        </w:rPr>
        <w:footnoteRef/>
      </w:r>
      <w:r>
        <w:t xml:space="preserve"> </w:t>
      </w:r>
      <w:r w:rsidR="00AA03CF">
        <w:t xml:space="preserve"> </w:t>
      </w:r>
      <w:r w:rsidR="00C733F3">
        <w:t xml:space="preserve">Order No. 3, Finding Application and Notice Sufficient (Aug. 18, 2020). </w:t>
      </w:r>
    </w:p>
  </w:footnote>
  <w:footnote w:id="2">
    <w:p w14:paraId="1DA2734E" w14:textId="07DD9653" w:rsidR="00776A8B" w:rsidRDefault="00776A8B" w:rsidP="00941645">
      <w:pPr>
        <w:pStyle w:val="FootnoteText"/>
        <w:spacing w:after="120"/>
        <w:ind w:firstLine="720"/>
      </w:pPr>
      <w:r>
        <w:rPr>
          <w:rStyle w:val="FootnoteReference"/>
        </w:rPr>
        <w:footnoteRef/>
      </w:r>
      <w:r>
        <w:t xml:space="preserve"> </w:t>
      </w:r>
      <w:r w:rsidR="00AA03CF">
        <w:t xml:space="preserve"> </w:t>
      </w:r>
      <w:r w:rsidR="00C733F3" w:rsidRPr="00C733F3">
        <w:rPr>
          <w:i/>
          <w:iCs/>
        </w:rPr>
        <w:t>Application of Kendall West Utility, LLC for Authority to Change Rates,</w:t>
      </w:r>
      <w:r w:rsidR="00C733F3">
        <w:t xml:space="preserve"> Docket No. 49887, SOAH Order No. 7 (June 15, 2020).  </w:t>
      </w:r>
    </w:p>
  </w:footnote>
  <w:footnote w:id="3">
    <w:p w14:paraId="4EBC5056" w14:textId="5ADC994F" w:rsidR="00776A8B" w:rsidRDefault="00776A8B" w:rsidP="00941645">
      <w:pPr>
        <w:pStyle w:val="FootnoteText"/>
        <w:spacing w:after="120"/>
        <w:ind w:firstLine="720"/>
      </w:pPr>
      <w:r>
        <w:rPr>
          <w:rStyle w:val="FootnoteReference"/>
        </w:rPr>
        <w:footnoteRef/>
      </w:r>
      <w:r>
        <w:t xml:space="preserve"> </w:t>
      </w:r>
      <w:r w:rsidR="00AA03CF">
        <w:t xml:space="preserve"> </w:t>
      </w:r>
      <w:r w:rsidR="00C733F3" w:rsidRPr="00C733F3">
        <w:rPr>
          <w:i/>
          <w:iCs/>
        </w:rPr>
        <w:t>Application of Undine Texas, LLC and Undine Texas Environmental, LLC for Authority to Change Rates,</w:t>
      </w:r>
      <w:r w:rsidR="00C733F3">
        <w:t xml:space="preserve"> Docket No. 50200, SOAH Order No. 10 (Aug. 21, 2020). </w:t>
      </w:r>
    </w:p>
  </w:footnote>
  <w:footnote w:id="4">
    <w:p w14:paraId="4A39AC42" w14:textId="50520890" w:rsidR="00D51E61" w:rsidRDefault="00D51E61" w:rsidP="008E4B52">
      <w:pPr>
        <w:pStyle w:val="FootnoteText"/>
        <w:spacing w:after="120"/>
        <w:ind w:firstLine="720"/>
      </w:pPr>
      <w:r>
        <w:rPr>
          <w:rStyle w:val="FootnoteReference"/>
        </w:rPr>
        <w:footnoteRef/>
      </w:r>
      <w:r>
        <w:t xml:space="preserve">  “This section does not apply to a public utility that provided utility service in only 24 counties on January 1, 2003.” TWC </w:t>
      </w:r>
      <w:r w:rsidRPr="0051637F">
        <w:t>§</w:t>
      </w:r>
      <w:r>
        <w:t xml:space="preserve"> 13.145(b).</w:t>
      </w:r>
      <w:r w:rsidR="00DD5DAB">
        <w:t xml:space="preserve"> </w:t>
      </w:r>
      <w:r w:rsidR="008F4921">
        <w:t xml:space="preserve">Monarch, operating under the name </w:t>
      </w:r>
      <w:proofErr w:type="spellStart"/>
      <w:r w:rsidR="008F4921">
        <w:t>Tecon</w:t>
      </w:r>
      <w:proofErr w:type="spellEnd"/>
      <w:r w:rsidR="008F4921">
        <w:t xml:space="preserve"> Water Company, L.P. until 2004, provided service in only 24 counties as of January 1, 2003.</w:t>
      </w:r>
      <w:r w:rsidR="00F134E1">
        <w:t xml:space="preserve"> </w:t>
      </w:r>
      <w:r w:rsidR="00DD5DAB" w:rsidRPr="00DD5DAB">
        <w:rPr>
          <w:i/>
          <w:iCs/>
        </w:rPr>
        <w:t>See also</w:t>
      </w:r>
      <w:r w:rsidR="00DD5DAB">
        <w:t xml:space="preserve"> Senate Comm. on Natural Res., Bill Analysis, Tex. S.B. 1063, 79th Leg., R.S. (2005) (“</w:t>
      </w:r>
      <w:bookmarkStart w:id="1" w:name="BillNumber2"/>
      <w:r w:rsidR="00DD5DAB">
        <w:t>C.S.S.B. 1063</w:t>
      </w:r>
      <w:bookmarkEnd w:id="1"/>
      <w:r w:rsidR="00DD5DAB">
        <w:t xml:space="preserve"> requires all investor owned utilities operating in </w:t>
      </w:r>
      <w:smartTag w:uri="urn:schemas-microsoft-com:office:smarttags" w:element="State">
        <w:smartTag w:uri="urn:schemas-microsoft-com:office:smarttags" w:element="place">
          <w:r w:rsidR="00DD5DAB">
            <w:t>Texas</w:t>
          </w:r>
        </w:smartTag>
      </w:smartTag>
      <w:r w:rsidR="00DD5DAB">
        <w:t xml:space="preserve"> to adhere to a single regulatory scheme, with exception to the application of a single tariff system. One IOU would be allowed to continue collecting a universal rate while all other utilities would be required to establish regional rates.”).</w:t>
      </w:r>
      <w:r w:rsidR="008F4921">
        <w:t xml:space="preserve"> </w:t>
      </w:r>
    </w:p>
  </w:footnote>
  <w:footnote w:id="5">
    <w:p w14:paraId="76BC9921" w14:textId="5C5A6DA7" w:rsidR="003F1EEB" w:rsidRDefault="003F1EEB" w:rsidP="008E4B52">
      <w:pPr>
        <w:pStyle w:val="FootnoteText"/>
        <w:spacing w:after="120"/>
        <w:ind w:firstLine="720"/>
      </w:pPr>
      <w:r>
        <w:rPr>
          <w:rStyle w:val="FootnoteReference"/>
        </w:rPr>
        <w:footnoteRef/>
      </w:r>
      <w:r>
        <w:t xml:space="preserve">  </w:t>
      </w:r>
      <w:r w:rsidRPr="003F1EEB">
        <w:rPr>
          <w:i/>
          <w:iCs/>
        </w:rPr>
        <w:t>See also</w:t>
      </w:r>
      <w:r>
        <w:t xml:space="preserve"> TWC </w:t>
      </w:r>
      <w:r w:rsidRPr="0051637F">
        <w:t>§</w:t>
      </w:r>
      <w:r>
        <w:t xml:space="preserve"> 13.187(m). </w:t>
      </w:r>
    </w:p>
  </w:footnote>
  <w:footnote w:id="6">
    <w:p w14:paraId="5DBAA5CE" w14:textId="24A8A5D0" w:rsidR="004E7441" w:rsidRDefault="004E7441" w:rsidP="00941645">
      <w:pPr>
        <w:pStyle w:val="FootnoteText"/>
        <w:spacing w:after="120"/>
        <w:ind w:firstLine="720"/>
      </w:pPr>
      <w:r>
        <w:rPr>
          <w:rStyle w:val="FootnoteReference"/>
        </w:rPr>
        <w:footnoteRef/>
      </w:r>
      <w:r>
        <w:t xml:space="preserve">  </w:t>
      </w:r>
      <w:r w:rsidRPr="00941645">
        <w:rPr>
          <w:i/>
          <w:iCs/>
        </w:rPr>
        <w:t>Supra</w:t>
      </w:r>
      <w:r>
        <w:t xml:space="preserve"> note 2. The Commission also included the issue in its Preliminary Order. </w:t>
      </w:r>
      <w:r w:rsidRPr="00C733F3">
        <w:rPr>
          <w:i/>
          <w:iCs/>
        </w:rPr>
        <w:t>Application of Kendall West Utility, LLC for Authority to Change Rates,</w:t>
      </w:r>
      <w:r>
        <w:t xml:space="preserve"> Docket No. 49887, Preliminary Order (Dec. 13, 2019);</w:t>
      </w:r>
    </w:p>
  </w:footnote>
  <w:footnote w:id="7">
    <w:p w14:paraId="7EDD8064" w14:textId="6B49245E" w:rsidR="0080649F" w:rsidRDefault="0080649F" w:rsidP="00941645">
      <w:pPr>
        <w:pStyle w:val="FootnoteText"/>
        <w:spacing w:after="120"/>
        <w:ind w:firstLine="720"/>
      </w:pPr>
      <w:r>
        <w:rPr>
          <w:rStyle w:val="FootnoteReference"/>
        </w:rPr>
        <w:footnoteRef/>
      </w:r>
      <w:r>
        <w:t xml:space="preserve">  </w:t>
      </w:r>
      <w:r w:rsidRPr="00941645">
        <w:rPr>
          <w:i/>
          <w:iCs/>
        </w:rPr>
        <w:t>Supra</w:t>
      </w:r>
      <w:r>
        <w:t xml:space="preserve"> note</w:t>
      </w:r>
      <w:r w:rsidR="004E7441">
        <w:t xml:space="preserve"> 3</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530D09"/>
    <w:multiLevelType w:val="hybridMultilevel"/>
    <w:tmpl w:val="8DE4F6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047F13"/>
    <w:multiLevelType w:val="hybridMultilevel"/>
    <w:tmpl w:val="8F88D1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7E2855"/>
    <w:multiLevelType w:val="hybridMultilevel"/>
    <w:tmpl w:val="600C4394"/>
    <w:lvl w:ilvl="0" w:tplc="8DF4450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1B7C40"/>
    <w:multiLevelType w:val="hybridMultilevel"/>
    <w:tmpl w:val="CE529A88"/>
    <w:lvl w:ilvl="0" w:tplc="A16057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0148E9"/>
    <w:multiLevelType w:val="hybridMultilevel"/>
    <w:tmpl w:val="3CB8F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F15FE"/>
    <w:multiLevelType w:val="hybridMultilevel"/>
    <w:tmpl w:val="E19818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5"/>
  </w:num>
  <w:num w:numId="2">
    <w:abstractNumId w:val="25"/>
  </w:num>
  <w:num w:numId="3">
    <w:abstractNumId w:val="12"/>
  </w:num>
  <w:num w:numId="4">
    <w:abstractNumId w:val="9"/>
  </w:num>
  <w:num w:numId="5">
    <w:abstractNumId w:val="22"/>
  </w:num>
  <w:num w:numId="6">
    <w:abstractNumId w:val="21"/>
  </w:num>
  <w:num w:numId="7">
    <w:abstractNumId w:val="13"/>
  </w:num>
  <w:num w:numId="8">
    <w:abstractNumId w:val="14"/>
  </w:num>
  <w:num w:numId="9">
    <w:abstractNumId w:val="18"/>
  </w:num>
  <w:num w:numId="10">
    <w:abstractNumId w:val="1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3"/>
  </w:num>
  <w:num w:numId="14">
    <w:abstractNumId w:val="0"/>
  </w:num>
  <w:num w:numId="15">
    <w:abstractNumId w:val="17"/>
  </w:num>
  <w:num w:numId="16">
    <w:abstractNumId w:val="16"/>
  </w:num>
  <w:num w:numId="17">
    <w:abstractNumId w:val="20"/>
  </w:num>
  <w:num w:numId="18">
    <w:abstractNumId w:val="24"/>
  </w:num>
  <w:num w:numId="19">
    <w:abstractNumId w:val="15"/>
  </w:num>
  <w:num w:numId="20">
    <w:abstractNumId w:val="1"/>
  </w:num>
  <w:num w:numId="21">
    <w:abstractNumId w:val="2"/>
  </w:num>
  <w:num w:numId="22">
    <w:abstractNumId w:val="11"/>
  </w:num>
  <w:num w:numId="23">
    <w:abstractNumId w:val="10"/>
  </w:num>
  <w:num w:numId="24">
    <w:abstractNumId w:val="6"/>
  </w:num>
  <w:num w:numId="25">
    <w:abstractNumId w:val="3"/>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175"/>
    <w:rsid w:val="000038EE"/>
    <w:rsid w:val="00003FE4"/>
    <w:rsid w:val="00006869"/>
    <w:rsid w:val="000134BB"/>
    <w:rsid w:val="00015160"/>
    <w:rsid w:val="0002197E"/>
    <w:rsid w:val="000233F8"/>
    <w:rsid w:val="000247D4"/>
    <w:rsid w:val="000315BF"/>
    <w:rsid w:val="00045794"/>
    <w:rsid w:val="00050EC3"/>
    <w:rsid w:val="000621BB"/>
    <w:rsid w:val="00063CEF"/>
    <w:rsid w:val="00071911"/>
    <w:rsid w:val="00072FE5"/>
    <w:rsid w:val="00075C6B"/>
    <w:rsid w:val="000767DB"/>
    <w:rsid w:val="000857EC"/>
    <w:rsid w:val="00092B02"/>
    <w:rsid w:val="0009361B"/>
    <w:rsid w:val="0009426E"/>
    <w:rsid w:val="00094D6D"/>
    <w:rsid w:val="00096876"/>
    <w:rsid w:val="000A7399"/>
    <w:rsid w:val="000B10C9"/>
    <w:rsid w:val="000B163B"/>
    <w:rsid w:val="000B1812"/>
    <w:rsid w:val="000B42BD"/>
    <w:rsid w:val="000B4E99"/>
    <w:rsid w:val="000B67C4"/>
    <w:rsid w:val="000B6B2B"/>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61C3"/>
    <w:rsid w:val="00127224"/>
    <w:rsid w:val="0013268C"/>
    <w:rsid w:val="0013299C"/>
    <w:rsid w:val="00132C88"/>
    <w:rsid w:val="001347B7"/>
    <w:rsid w:val="001370E3"/>
    <w:rsid w:val="001429F9"/>
    <w:rsid w:val="00143BAC"/>
    <w:rsid w:val="00143DBB"/>
    <w:rsid w:val="00147053"/>
    <w:rsid w:val="00151409"/>
    <w:rsid w:val="00152E43"/>
    <w:rsid w:val="001545F8"/>
    <w:rsid w:val="00162210"/>
    <w:rsid w:val="00162498"/>
    <w:rsid w:val="00166EF5"/>
    <w:rsid w:val="0016707F"/>
    <w:rsid w:val="00167865"/>
    <w:rsid w:val="0016793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2DF0"/>
    <w:rsid w:val="001C38BF"/>
    <w:rsid w:val="001C3BDA"/>
    <w:rsid w:val="001D0EFA"/>
    <w:rsid w:val="001D3EAD"/>
    <w:rsid w:val="001E0547"/>
    <w:rsid w:val="001E1E75"/>
    <w:rsid w:val="001E55D1"/>
    <w:rsid w:val="001F5FDD"/>
    <w:rsid w:val="00201516"/>
    <w:rsid w:val="0020243D"/>
    <w:rsid w:val="002034B3"/>
    <w:rsid w:val="0020473E"/>
    <w:rsid w:val="00210DF1"/>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6E4E"/>
    <w:rsid w:val="002679E2"/>
    <w:rsid w:val="00267E98"/>
    <w:rsid w:val="00270C7B"/>
    <w:rsid w:val="00271524"/>
    <w:rsid w:val="00272208"/>
    <w:rsid w:val="00275100"/>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1F1A"/>
    <w:rsid w:val="002D3A76"/>
    <w:rsid w:val="002D481E"/>
    <w:rsid w:val="002D543A"/>
    <w:rsid w:val="002E45FE"/>
    <w:rsid w:val="002E749D"/>
    <w:rsid w:val="002F08B6"/>
    <w:rsid w:val="002F479D"/>
    <w:rsid w:val="00300565"/>
    <w:rsid w:val="003021A2"/>
    <w:rsid w:val="0030260C"/>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2340"/>
    <w:rsid w:val="003C6393"/>
    <w:rsid w:val="003D152A"/>
    <w:rsid w:val="003D1D6C"/>
    <w:rsid w:val="003D3F31"/>
    <w:rsid w:val="003E1AA5"/>
    <w:rsid w:val="003E7A59"/>
    <w:rsid w:val="003F1EEB"/>
    <w:rsid w:val="003F72A0"/>
    <w:rsid w:val="00401BF3"/>
    <w:rsid w:val="00403A3D"/>
    <w:rsid w:val="00403B88"/>
    <w:rsid w:val="00404493"/>
    <w:rsid w:val="0041248F"/>
    <w:rsid w:val="00414B92"/>
    <w:rsid w:val="00422A05"/>
    <w:rsid w:val="00422E52"/>
    <w:rsid w:val="00423664"/>
    <w:rsid w:val="004239E2"/>
    <w:rsid w:val="004259C2"/>
    <w:rsid w:val="00431973"/>
    <w:rsid w:val="004333A7"/>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1D99"/>
    <w:rsid w:val="00472755"/>
    <w:rsid w:val="00473325"/>
    <w:rsid w:val="00475C4A"/>
    <w:rsid w:val="00483D52"/>
    <w:rsid w:val="00485D02"/>
    <w:rsid w:val="00485D9D"/>
    <w:rsid w:val="00490341"/>
    <w:rsid w:val="00490A9A"/>
    <w:rsid w:val="00492C92"/>
    <w:rsid w:val="004933EC"/>
    <w:rsid w:val="00496854"/>
    <w:rsid w:val="004A25AE"/>
    <w:rsid w:val="004A4C04"/>
    <w:rsid w:val="004A51DF"/>
    <w:rsid w:val="004B4A42"/>
    <w:rsid w:val="004B74BE"/>
    <w:rsid w:val="004C4866"/>
    <w:rsid w:val="004C70F3"/>
    <w:rsid w:val="004D20DD"/>
    <w:rsid w:val="004D5E0E"/>
    <w:rsid w:val="004E170B"/>
    <w:rsid w:val="004E4207"/>
    <w:rsid w:val="004E5152"/>
    <w:rsid w:val="004E563C"/>
    <w:rsid w:val="004E7441"/>
    <w:rsid w:val="004F0AC4"/>
    <w:rsid w:val="004F3113"/>
    <w:rsid w:val="005024E1"/>
    <w:rsid w:val="0050374E"/>
    <w:rsid w:val="005103FF"/>
    <w:rsid w:val="00517C97"/>
    <w:rsid w:val="00535DF6"/>
    <w:rsid w:val="0054012D"/>
    <w:rsid w:val="005528A6"/>
    <w:rsid w:val="00553BD2"/>
    <w:rsid w:val="0055422C"/>
    <w:rsid w:val="00555A43"/>
    <w:rsid w:val="00555E35"/>
    <w:rsid w:val="005617AE"/>
    <w:rsid w:val="00573858"/>
    <w:rsid w:val="0057620A"/>
    <w:rsid w:val="0058513A"/>
    <w:rsid w:val="00587716"/>
    <w:rsid w:val="0059197A"/>
    <w:rsid w:val="00592FA5"/>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21A8"/>
    <w:rsid w:val="005F3965"/>
    <w:rsid w:val="005F4F7A"/>
    <w:rsid w:val="006017D7"/>
    <w:rsid w:val="0060359F"/>
    <w:rsid w:val="006102D3"/>
    <w:rsid w:val="006105A0"/>
    <w:rsid w:val="00612E0D"/>
    <w:rsid w:val="006139C3"/>
    <w:rsid w:val="00615565"/>
    <w:rsid w:val="006159E0"/>
    <w:rsid w:val="0061677C"/>
    <w:rsid w:val="00621AF5"/>
    <w:rsid w:val="00633065"/>
    <w:rsid w:val="006346BF"/>
    <w:rsid w:val="0064292A"/>
    <w:rsid w:val="006470FE"/>
    <w:rsid w:val="00650A71"/>
    <w:rsid w:val="00651E9F"/>
    <w:rsid w:val="00653751"/>
    <w:rsid w:val="006570BC"/>
    <w:rsid w:val="00662506"/>
    <w:rsid w:val="0066299F"/>
    <w:rsid w:val="00662F0A"/>
    <w:rsid w:val="006639AD"/>
    <w:rsid w:val="006651F5"/>
    <w:rsid w:val="0066794B"/>
    <w:rsid w:val="00667B84"/>
    <w:rsid w:val="00672B9B"/>
    <w:rsid w:val="006755F2"/>
    <w:rsid w:val="0068771C"/>
    <w:rsid w:val="00687DD6"/>
    <w:rsid w:val="00687ECC"/>
    <w:rsid w:val="00692AD3"/>
    <w:rsid w:val="006964B5"/>
    <w:rsid w:val="00697B6B"/>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3AAD"/>
    <w:rsid w:val="007064EC"/>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6A8B"/>
    <w:rsid w:val="007805C5"/>
    <w:rsid w:val="00785B05"/>
    <w:rsid w:val="00791658"/>
    <w:rsid w:val="007972AD"/>
    <w:rsid w:val="00797F7B"/>
    <w:rsid w:val="007A18A5"/>
    <w:rsid w:val="007A38A3"/>
    <w:rsid w:val="007A5F84"/>
    <w:rsid w:val="007B1473"/>
    <w:rsid w:val="007B5AE9"/>
    <w:rsid w:val="007B7FB8"/>
    <w:rsid w:val="007C074A"/>
    <w:rsid w:val="007C26C6"/>
    <w:rsid w:val="007C513F"/>
    <w:rsid w:val="007C6863"/>
    <w:rsid w:val="007C7DCC"/>
    <w:rsid w:val="007D21B3"/>
    <w:rsid w:val="007D2BF7"/>
    <w:rsid w:val="007D2FF3"/>
    <w:rsid w:val="007D4FDA"/>
    <w:rsid w:val="007D59AE"/>
    <w:rsid w:val="007D6179"/>
    <w:rsid w:val="007E23E9"/>
    <w:rsid w:val="007E4FD6"/>
    <w:rsid w:val="007F05DA"/>
    <w:rsid w:val="007F19FD"/>
    <w:rsid w:val="007F7062"/>
    <w:rsid w:val="0080064A"/>
    <w:rsid w:val="00805FB2"/>
    <w:rsid w:val="0080649F"/>
    <w:rsid w:val="00811B97"/>
    <w:rsid w:val="00813959"/>
    <w:rsid w:val="008146C8"/>
    <w:rsid w:val="00827E46"/>
    <w:rsid w:val="00832BB7"/>
    <w:rsid w:val="008348B9"/>
    <w:rsid w:val="0084092D"/>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4B52"/>
    <w:rsid w:val="008E5F5E"/>
    <w:rsid w:val="008E684E"/>
    <w:rsid w:val="008F1B72"/>
    <w:rsid w:val="008F36DB"/>
    <w:rsid w:val="008F4898"/>
    <w:rsid w:val="008F4921"/>
    <w:rsid w:val="00903852"/>
    <w:rsid w:val="00906C49"/>
    <w:rsid w:val="00911CA1"/>
    <w:rsid w:val="00913C70"/>
    <w:rsid w:val="00925917"/>
    <w:rsid w:val="00930B8D"/>
    <w:rsid w:val="00932E23"/>
    <w:rsid w:val="00933F91"/>
    <w:rsid w:val="00936A79"/>
    <w:rsid w:val="00940316"/>
    <w:rsid w:val="009410CB"/>
    <w:rsid w:val="00941645"/>
    <w:rsid w:val="00944CF8"/>
    <w:rsid w:val="00953708"/>
    <w:rsid w:val="00953B7B"/>
    <w:rsid w:val="00960F8F"/>
    <w:rsid w:val="00965618"/>
    <w:rsid w:val="00971254"/>
    <w:rsid w:val="0097244A"/>
    <w:rsid w:val="009741CA"/>
    <w:rsid w:val="00975123"/>
    <w:rsid w:val="00975A43"/>
    <w:rsid w:val="00975CB2"/>
    <w:rsid w:val="00980824"/>
    <w:rsid w:val="00991476"/>
    <w:rsid w:val="00996951"/>
    <w:rsid w:val="009A0EC5"/>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3B2B"/>
    <w:rsid w:val="00A0465D"/>
    <w:rsid w:val="00A1058B"/>
    <w:rsid w:val="00A1461F"/>
    <w:rsid w:val="00A1685B"/>
    <w:rsid w:val="00A20D13"/>
    <w:rsid w:val="00A25538"/>
    <w:rsid w:val="00A2623C"/>
    <w:rsid w:val="00A265AF"/>
    <w:rsid w:val="00A26D1E"/>
    <w:rsid w:val="00A307DF"/>
    <w:rsid w:val="00A30819"/>
    <w:rsid w:val="00A35044"/>
    <w:rsid w:val="00A357F1"/>
    <w:rsid w:val="00A363EE"/>
    <w:rsid w:val="00A36FC0"/>
    <w:rsid w:val="00A37740"/>
    <w:rsid w:val="00A42644"/>
    <w:rsid w:val="00A426B9"/>
    <w:rsid w:val="00A603FA"/>
    <w:rsid w:val="00A702F0"/>
    <w:rsid w:val="00A70425"/>
    <w:rsid w:val="00A70760"/>
    <w:rsid w:val="00A70979"/>
    <w:rsid w:val="00A714E3"/>
    <w:rsid w:val="00A747AD"/>
    <w:rsid w:val="00A75CE5"/>
    <w:rsid w:val="00A76E69"/>
    <w:rsid w:val="00A810AB"/>
    <w:rsid w:val="00A82BFB"/>
    <w:rsid w:val="00A849B9"/>
    <w:rsid w:val="00A84CA9"/>
    <w:rsid w:val="00A851D8"/>
    <w:rsid w:val="00A96F2C"/>
    <w:rsid w:val="00AA03CF"/>
    <w:rsid w:val="00AA1D87"/>
    <w:rsid w:val="00AA1EF3"/>
    <w:rsid w:val="00AA212D"/>
    <w:rsid w:val="00AA4397"/>
    <w:rsid w:val="00AA4BF1"/>
    <w:rsid w:val="00AA6B28"/>
    <w:rsid w:val="00AB344F"/>
    <w:rsid w:val="00AC4F67"/>
    <w:rsid w:val="00AC5BD9"/>
    <w:rsid w:val="00AD1E9F"/>
    <w:rsid w:val="00AD27C1"/>
    <w:rsid w:val="00AE1CB0"/>
    <w:rsid w:val="00AE4383"/>
    <w:rsid w:val="00AE4F84"/>
    <w:rsid w:val="00AE597A"/>
    <w:rsid w:val="00AF3657"/>
    <w:rsid w:val="00B01365"/>
    <w:rsid w:val="00B0438F"/>
    <w:rsid w:val="00B1063A"/>
    <w:rsid w:val="00B12542"/>
    <w:rsid w:val="00B12A43"/>
    <w:rsid w:val="00B15436"/>
    <w:rsid w:val="00B21500"/>
    <w:rsid w:val="00B26DE3"/>
    <w:rsid w:val="00B321FB"/>
    <w:rsid w:val="00B32410"/>
    <w:rsid w:val="00B34890"/>
    <w:rsid w:val="00B435B5"/>
    <w:rsid w:val="00B43827"/>
    <w:rsid w:val="00B43A8C"/>
    <w:rsid w:val="00B510F6"/>
    <w:rsid w:val="00B564B1"/>
    <w:rsid w:val="00B564B6"/>
    <w:rsid w:val="00B60060"/>
    <w:rsid w:val="00B60332"/>
    <w:rsid w:val="00B60618"/>
    <w:rsid w:val="00B651B9"/>
    <w:rsid w:val="00B71A98"/>
    <w:rsid w:val="00B770BE"/>
    <w:rsid w:val="00B801E5"/>
    <w:rsid w:val="00B82BFE"/>
    <w:rsid w:val="00B867A0"/>
    <w:rsid w:val="00B87840"/>
    <w:rsid w:val="00B94FCB"/>
    <w:rsid w:val="00B95568"/>
    <w:rsid w:val="00B955C6"/>
    <w:rsid w:val="00B971AD"/>
    <w:rsid w:val="00BA0223"/>
    <w:rsid w:val="00BA139E"/>
    <w:rsid w:val="00BA175C"/>
    <w:rsid w:val="00BA2A7F"/>
    <w:rsid w:val="00BA684F"/>
    <w:rsid w:val="00BB0FE8"/>
    <w:rsid w:val="00BC010F"/>
    <w:rsid w:val="00BC0A59"/>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012D"/>
    <w:rsid w:val="00C311C3"/>
    <w:rsid w:val="00C34BFD"/>
    <w:rsid w:val="00C417D0"/>
    <w:rsid w:val="00C42950"/>
    <w:rsid w:val="00C442AE"/>
    <w:rsid w:val="00C472A2"/>
    <w:rsid w:val="00C51FDC"/>
    <w:rsid w:val="00C52FA8"/>
    <w:rsid w:val="00C541E5"/>
    <w:rsid w:val="00C55671"/>
    <w:rsid w:val="00C603C3"/>
    <w:rsid w:val="00C610C1"/>
    <w:rsid w:val="00C61F66"/>
    <w:rsid w:val="00C64532"/>
    <w:rsid w:val="00C7196E"/>
    <w:rsid w:val="00C733F3"/>
    <w:rsid w:val="00C76D48"/>
    <w:rsid w:val="00C82C8B"/>
    <w:rsid w:val="00CA3F65"/>
    <w:rsid w:val="00CA5A71"/>
    <w:rsid w:val="00CB13E6"/>
    <w:rsid w:val="00CB1488"/>
    <w:rsid w:val="00CB3671"/>
    <w:rsid w:val="00CB6492"/>
    <w:rsid w:val="00CB7857"/>
    <w:rsid w:val="00CB7E1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27675"/>
    <w:rsid w:val="00D303EA"/>
    <w:rsid w:val="00D32DFB"/>
    <w:rsid w:val="00D33BD9"/>
    <w:rsid w:val="00D35DEF"/>
    <w:rsid w:val="00D4436F"/>
    <w:rsid w:val="00D44CF6"/>
    <w:rsid w:val="00D51E61"/>
    <w:rsid w:val="00D52A4A"/>
    <w:rsid w:val="00D61912"/>
    <w:rsid w:val="00D61BC0"/>
    <w:rsid w:val="00D66AF2"/>
    <w:rsid w:val="00D67195"/>
    <w:rsid w:val="00D7340F"/>
    <w:rsid w:val="00D75599"/>
    <w:rsid w:val="00D77B9E"/>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D5DAB"/>
    <w:rsid w:val="00DE2E28"/>
    <w:rsid w:val="00DE5974"/>
    <w:rsid w:val="00DF0679"/>
    <w:rsid w:val="00DF40EB"/>
    <w:rsid w:val="00DF60AA"/>
    <w:rsid w:val="00E01327"/>
    <w:rsid w:val="00E03DC4"/>
    <w:rsid w:val="00E10C21"/>
    <w:rsid w:val="00E12535"/>
    <w:rsid w:val="00E22B2A"/>
    <w:rsid w:val="00E22DA1"/>
    <w:rsid w:val="00E32166"/>
    <w:rsid w:val="00E324F4"/>
    <w:rsid w:val="00E35B5D"/>
    <w:rsid w:val="00E363C9"/>
    <w:rsid w:val="00E5280E"/>
    <w:rsid w:val="00E54203"/>
    <w:rsid w:val="00E56E67"/>
    <w:rsid w:val="00E57BC8"/>
    <w:rsid w:val="00E57EBE"/>
    <w:rsid w:val="00E60E28"/>
    <w:rsid w:val="00E67BFD"/>
    <w:rsid w:val="00E70834"/>
    <w:rsid w:val="00E752FC"/>
    <w:rsid w:val="00E77066"/>
    <w:rsid w:val="00E770E2"/>
    <w:rsid w:val="00E77EDE"/>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34E1"/>
    <w:rsid w:val="00F1611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771AA"/>
    <w:rsid w:val="00F8061A"/>
    <w:rsid w:val="00F83417"/>
    <w:rsid w:val="00F83A1D"/>
    <w:rsid w:val="00F87258"/>
    <w:rsid w:val="00F9178E"/>
    <w:rsid w:val="00F94F2F"/>
    <w:rsid w:val="00F9677E"/>
    <w:rsid w:val="00FA12EA"/>
    <w:rsid w:val="00FB21E9"/>
    <w:rsid w:val="00FB5783"/>
    <w:rsid w:val="00FB69CA"/>
    <w:rsid w:val="00FB7C03"/>
    <w:rsid w:val="00FC04B0"/>
    <w:rsid w:val="00FC174D"/>
    <w:rsid w:val="00FC2FC0"/>
    <w:rsid w:val="00FC40D6"/>
    <w:rsid w:val="00FD2228"/>
    <w:rsid w:val="00FE0444"/>
    <w:rsid w:val="00FE0EE3"/>
    <w:rsid w:val="00FF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348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A70760"/>
    <w:rPr>
      <w:sz w:val="16"/>
      <w:szCs w:val="16"/>
    </w:rPr>
  </w:style>
  <w:style w:type="paragraph" w:styleId="CommentText">
    <w:name w:val="annotation text"/>
    <w:basedOn w:val="Normal"/>
    <w:link w:val="CommentTextChar"/>
    <w:rsid w:val="00A70760"/>
    <w:rPr>
      <w:sz w:val="20"/>
    </w:rPr>
  </w:style>
  <w:style w:type="character" w:customStyle="1" w:styleId="CommentTextChar">
    <w:name w:val="Comment Text Char"/>
    <w:basedOn w:val="DefaultParagraphFont"/>
    <w:link w:val="CommentText"/>
    <w:rsid w:val="00A70760"/>
  </w:style>
  <w:style w:type="paragraph" w:styleId="CommentSubject">
    <w:name w:val="annotation subject"/>
    <w:basedOn w:val="CommentText"/>
    <w:next w:val="CommentText"/>
    <w:link w:val="CommentSubjectChar"/>
    <w:rsid w:val="00A70760"/>
    <w:rPr>
      <w:b/>
      <w:bCs/>
    </w:rPr>
  </w:style>
  <w:style w:type="character" w:customStyle="1" w:styleId="CommentSubjectChar">
    <w:name w:val="Comment Subject Char"/>
    <w:basedOn w:val="CommentTextChar"/>
    <w:link w:val="CommentSubject"/>
    <w:rsid w:val="00A70760"/>
    <w:rPr>
      <w:b/>
      <w:bCs/>
    </w:rPr>
  </w:style>
  <w:style w:type="character" w:styleId="UnresolvedMention">
    <w:name w:val="Unresolved Mention"/>
    <w:basedOn w:val="DefaultParagraphFont"/>
    <w:uiPriority w:val="99"/>
    <w:semiHidden/>
    <w:unhideWhenUsed/>
    <w:rsid w:val="005F21A8"/>
    <w:rPr>
      <w:color w:val="605E5C"/>
      <w:shd w:val="clear" w:color="auto" w:fill="E1DFDD"/>
    </w:rPr>
  </w:style>
  <w:style w:type="character" w:customStyle="1" w:styleId="FooterChar">
    <w:name w:val="Footer Char"/>
    <w:basedOn w:val="DefaultParagraphFont"/>
    <w:link w:val="Footer"/>
    <w:uiPriority w:val="99"/>
    <w:rsid w:val="00A03B2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48035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74254-AC33-4E58-A529-D4FAA4381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1494</Words>
  <Characters>8091</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2020-10-09T18:32:00Z</dcterms:created>
  <dcterms:modified xsi:type="dcterms:W3CDTF">2020-10-09T18:32:00Z</dcterms:modified>
</cp:coreProperties>
</file>